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E828" w14:textId="40953B34" w:rsidR="00326F89" w:rsidRDefault="00683EDC" w:rsidP="00326F89">
      <w:pPr>
        <w:jc w:val="center"/>
        <w:rPr>
          <w:b/>
        </w:rPr>
      </w:pPr>
      <w:r>
        <w:rPr>
          <w:b/>
        </w:rPr>
        <w:t xml:space="preserve">PERSONAL DATA </w:t>
      </w:r>
      <w:r w:rsidR="00532430">
        <w:rPr>
          <w:b/>
        </w:rPr>
        <w:t>RECORD</w:t>
      </w:r>
      <w:r>
        <w:rPr>
          <w:b/>
        </w:rPr>
        <w:t xml:space="preserve"> RETENTION </w:t>
      </w:r>
      <w:r w:rsidR="00326F89">
        <w:rPr>
          <w:b/>
        </w:rPr>
        <w:t>POLICY</w:t>
      </w:r>
    </w:p>
    <w:p w14:paraId="41C34DDA" w14:textId="77777777" w:rsidR="00326F89" w:rsidRDefault="00532430" w:rsidP="00326F89">
      <w:pPr>
        <w:jc w:val="left"/>
      </w:pPr>
      <w:r>
        <w:rPr>
          <w:b/>
        </w:rPr>
        <w:t>Introduction</w:t>
      </w:r>
    </w:p>
    <w:p w14:paraId="7C8E7FD4" w14:textId="730DCE15" w:rsidR="00326F89" w:rsidRDefault="00326F89" w:rsidP="00326F89">
      <w:pPr>
        <w:jc w:val="left"/>
      </w:pPr>
      <w:r>
        <w:t>This</w:t>
      </w:r>
      <w:r w:rsidR="00683EDC">
        <w:t xml:space="preserve"> Personal Data</w:t>
      </w:r>
      <w:r>
        <w:t xml:space="preserve"> </w:t>
      </w:r>
      <w:r w:rsidR="00532430">
        <w:t>Record</w:t>
      </w:r>
      <w:r>
        <w:t xml:space="preserve"> Retention Policy applies to all</w:t>
      </w:r>
      <w:r w:rsidR="00683EDC">
        <w:t xml:space="preserve"> personal data</w:t>
      </w:r>
      <w:r>
        <w:t xml:space="preserve"> records of</w:t>
      </w:r>
      <w:r w:rsidR="007D0CD0">
        <w:t xml:space="preserve"> Badminton England</w:t>
      </w:r>
      <w:r>
        <w:t xml:space="preserve">. </w:t>
      </w:r>
      <w:r w:rsidR="00A32F75">
        <w:t xml:space="preserve">This policy applies to all of our employees, contractors and suppliers and other </w:t>
      </w:r>
      <w:r w:rsidR="00532430">
        <w:t>individuals</w:t>
      </w:r>
      <w:r w:rsidR="00A32F75">
        <w:t xml:space="preserve"> working or providing services on behalf of </w:t>
      </w:r>
      <w:r w:rsidR="007D0CD0">
        <w:t>Badminton England</w:t>
      </w:r>
      <w:r w:rsidR="00A32F75">
        <w:t xml:space="preserve">, or who have access to </w:t>
      </w:r>
      <w:r w:rsidR="007D0CD0">
        <w:t xml:space="preserve">Badminton England’s </w:t>
      </w:r>
      <w:r w:rsidR="00683EDC">
        <w:t>personal data</w:t>
      </w:r>
      <w:r w:rsidR="00A32F75">
        <w:t xml:space="preserve"> records</w:t>
      </w:r>
      <w:r w:rsidR="007D6D42">
        <w:t xml:space="preserve"> ("</w:t>
      </w:r>
      <w:r w:rsidR="007D6D42" w:rsidRPr="007D6D42">
        <w:rPr>
          <w:b/>
        </w:rPr>
        <w:t>you</w:t>
      </w:r>
      <w:r w:rsidR="007D6D42">
        <w:t>")</w:t>
      </w:r>
      <w:r w:rsidR="00A32F75">
        <w:t xml:space="preserve">. </w:t>
      </w:r>
      <w:r w:rsidR="00683EDC">
        <w:t>This</w:t>
      </w:r>
      <w:r w:rsidR="008E228F">
        <w:t xml:space="preserve"> Personal Data </w:t>
      </w:r>
      <w:r w:rsidR="00532430">
        <w:t>Record</w:t>
      </w:r>
      <w:r w:rsidR="00683EDC">
        <w:t xml:space="preserve"> Retention Policy should be read in conjunction with </w:t>
      </w:r>
      <w:r w:rsidR="007D0CD0">
        <w:t xml:space="preserve">Badminton England’s </w:t>
      </w:r>
      <w:r w:rsidR="008E228F">
        <w:t>Data Protection Policy</w:t>
      </w:r>
      <w:r w:rsidR="00683EDC">
        <w:t xml:space="preserve">. </w:t>
      </w:r>
    </w:p>
    <w:p w14:paraId="01CAEDD7" w14:textId="77777777" w:rsidR="00532430" w:rsidRDefault="00532430" w:rsidP="00532430">
      <w:pPr>
        <w:jc w:val="left"/>
      </w:pPr>
      <w:r>
        <w:t xml:space="preserve">Keeping </w:t>
      </w:r>
      <w:r w:rsidR="00C37F6D">
        <w:t>personal data records for the period necessary for their purpose</w:t>
      </w:r>
      <w:r>
        <w:t xml:space="preserve">, and ensuring </w:t>
      </w:r>
      <w:r w:rsidR="00C37F6D">
        <w:t xml:space="preserve">such </w:t>
      </w:r>
      <w:r>
        <w:t xml:space="preserve">records are accessible if required, is good business practice and required by </w:t>
      </w:r>
      <w:r w:rsidR="00C37F6D">
        <w:t xml:space="preserve">data protection </w:t>
      </w:r>
      <w:r>
        <w:t xml:space="preserve">law. </w:t>
      </w:r>
    </w:p>
    <w:p w14:paraId="61131477" w14:textId="77777777" w:rsidR="00532430" w:rsidRPr="00532430" w:rsidRDefault="00532430" w:rsidP="00326F89">
      <w:pPr>
        <w:jc w:val="left"/>
        <w:rPr>
          <w:b/>
        </w:rPr>
      </w:pPr>
      <w:r>
        <w:rPr>
          <w:b/>
        </w:rPr>
        <w:t>Scope</w:t>
      </w:r>
    </w:p>
    <w:p w14:paraId="3404FE63" w14:textId="79BBB67D" w:rsidR="00C72822" w:rsidRDefault="00C72822" w:rsidP="00326F89">
      <w:pPr>
        <w:jc w:val="left"/>
      </w:pPr>
      <w:r>
        <w:t xml:space="preserve">A </w:t>
      </w:r>
      <w:r w:rsidR="00532430">
        <w:t xml:space="preserve">personal data </w:t>
      </w:r>
      <w:r>
        <w:t>"</w:t>
      </w:r>
      <w:r w:rsidR="00A32F75">
        <w:t>record</w:t>
      </w:r>
      <w:r>
        <w:t xml:space="preserve">" refers to all documents, in whatever medium, received or created by </w:t>
      </w:r>
      <w:r w:rsidR="007D0CD0">
        <w:t>Badminton England</w:t>
      </w:r>
      <w:r>
        <w:t xml:space="preserve"> in the course of its business</w:t>
      </w:r>
      <w:r w:rsidR="00532430">
        <w:t xml:space="preserve"> </w:t>
      </w:r>
      <w:r w:rsidR="008E228F">
        <w:t>which</w:t>
      </w:r>
      <w:r w:rsidR="00532430">
        <w:t xml:space="preserve"> contain personal data</w:t>
      </w:r>
      <w:r>
        <w:t>.</w:t>
      </w:r>
      <w:r w:rsidR="00532430">
        <w:t xml:space="preserve"> Personal data consists of any information which related to an individual and/or information from which an individual can be identified, directly or indirectly. For example, information which identifies an individual may consist of that individuals'' name, address, telephone number, photographs, location data and online identifiers (e.g. cookie identifiers and IP addresses) or to one or more factors specific to the physical, physiological, genetic, mental, economic, cultural or social identity of an individual. </w:t>
      </w:r>
    </w:p>
    <w:p w14:paraId="3E9FEEB0" w14:textId="3154DC9C" w:rsidR="00A32F75" w:rsidRDefault="007D0CD0" w:rsidP="00326F89">
      <w:pPr>
        <w:jc w:val="left"/>
      </w:pPr>
      <w:r>
        <w:rPr>
          <w:b/>
        </w:rPr>
        <w:t>Badminton England</w:t>
      </w:r>
      <w:r w:rsidR="00A32F75">
        <w:rPr>
          <w:b/>
        </w:rPr>
        <w:t xml:space="preserve">' </w:t>
      </w:r>
      <w:r w:rsidR="00C37F6D">
        <w:rPr>
          <w:b/>
        </w:rPr>
        <w:t xml:space="preserve">Personal Data </w:t>
      </w:r>
      <w:r w:rsidR="00A32F75">
        <w:rPr>
          <w:b/>
        </w:rPr>
        <w:t>Records</w:t>
      </w:r>
    </w:p>
    <w:p w14:paraId="58994990" w14:textId="5E42BDA4" w:rsidR="007D0CD0" w:rsidRDefault="00A32F75" w:rsidP="00326F89">
      <w:pPr>
        <w:jc w:val="left"/>
      </w:pPr>
      <w:r>
        <w:t xml:space="preserve">The majority of </w:t>
      </w:r>
      <w:r w:rsidR="00683EDC">
        <w:t xml:space="preserve">personal data records </w:t>
      </w:r>
      <w:r w:rsidR="007D0CD0">
        <w:t>Badminton England</w:t>
      </w:r>
      <w:r w:rsidR="00683EDC">
        <w:t xml:space="preserve"> holds </w:t>
      </w:r>
      <w:r w:rsidR="007D0CD0">
        <w:t xml:space="preserve">are related to staff, volunteers, members and fans. </w:t>
      </w:r>
    </w:p>
    <w:p w14:paraId="18765601" w14:textId="4E7ECBE9" w:rsidR="00C37F6D" w:rsidRPr="00A32F75" w:rsidRDefault="007D0CD0" w:rsidP="00326F89">
      <w:pPr>
        <w:jc w:val="left"/>
      </w:pPr>
      <w:r>
        <w:t>Badminton England</w:t>
      </w:r>
      <w:r w:rsidR="00C37F6D">
        <w:t xml:space="preserve"> also holds a limited amount of personal data records relating </w:t>
      </w:r>
      <w:r>
        <w:t xml:space="preserve">visitors to our website and </w:t>
      </w:r>
      <w:r w:rsidR="002A1A01">
        <w:t xml:space="preserve">representatives from our </w:t>
      </w:r>
      <w:r>
        <w:t>suppliers and partners in connection with the provision of our services.</w:t>
      </w:r>
      <w:r w:rsidR="00C37F6D">
        <w:t xml:space="preserve"> </w:t>
      </w:r>
    </w:p>
    <w:p w14:paraId="0ECE355D" w14:textId="77777777" w:rsidR="00CC704C" w:rsidRDefault="00CC704C" w:rsidP="00326F89">
      <w:pPr>
        <w:jc w:val="left"/>
      </w:pPr>
      <w:r>
        <w:rPr>
          <w:b/>
        </w:rPr>
        <w:t>Storage of Personal Data Records</w:t>
      </w:r>
    </w:p>
    <w:p w14:paraId="17E1F1D3" w14:textId="4EE7E2BE" w:rsidR="00CC704C" w:rsidRPr="00CC704C" w:rsidRDefault="007D0CD0" w:rsidP="00326F89">
      <w:pPr>
        <w:jc w:val="left"/>
      </w:pPr>
      <w:r>
        <w:t>Badminton England</w:t>
      </w:r>
      <w:r w:rsidR="00CC704C">
        <w:t>'</w:t>
      </w:r>
      <w:r>
        <w:t>s</w:t>
      </w:r>
      <w:r w:rsidR="00CC704C">
        <w:t xml:space="preserve"> records must be stored in a safe, secure and accessible manner. </w:t>
      </w:r>
    </w:p>
    <w:p w14:paraId="5206F89A" w14:textId="77777777" w:rsidR="00C72822" w:rsidRDefault="00C72822" w:rsidP="00326F89">
      <w:pPr>
        <w:jc w:val="left"/>
      </w:pPr>
      <w:r>
        <w:rPr>
          <w:b/>
        </w:rPr>
        <w:t>Retention Periods</w:t>
      </w:r>
    </w:p>
    <w:p w14:paraId="707C1AB0" w14:textId="77777777" w:rsidR="00CC704C" w:rsidRDefault="00CC704C" w:rsidP="00CC704C">
      <w:pPr>
        <w:jc w:val="left"/>
      </w:pPr>
      <w:r>
        <w:t xml:space="preserve">Personal data records should only be retained for the </w:t>
      </w:r>
      <w:r>
        <w:rPr>
          <w:b/>
        </w:rPr>
        <w:t>period necessary for their purpose</w:t>
      </w:r>
      <w:r>
        <w:t xml:space="preserve">, unless a different period is required by applicable laws and regulations.  </w:t>
      </w:r>
    </w:p>
    <w:p w14:paraId="6418BD9C" w14:textId="77777777" w:rsidR="00C72822" w:rsidRDefault="00C72822" w:rsidP="00326F89">
      <w:pPr>
        <w:jc w:val="left"/>
      </w:pPr>
      <w:r>
        <w:t xml:space="preserve">A full explanation of the </w:t>
      </w:r>
      <w:r w:rsidR="00A32F75">
        <w:t>retention</w:t>
      </w:r>
      <w:r>
        <w:t xml:space="preserve"> periods is contained in the attached Annex 1. </w:t>
      </w:r>
    </w:p>
    <w:p w14:paraId="242EE443" w14:textId="77777777" w:rsidR="00C72822" w:rsidRDefault="00C72822" w:rsidP="00326F89">
      <w:pPr>
        <w:jc w:val="left"/>
      </w:pPr>
      <w:r>
        <w:rPr>
          <w:b/>
        </w:rPr>
        <w:t xml:space="preserve">Disposal of </w:t>
      </w:r>
      <w:r w:rsidR="00B857D4">
        <w:rPr>
          <w:b/>
        </w:rPr>
        <w:t xml:space="preserve">Personal Data </w:t>
      </w:r>
      <w:r>
        <w:rPr>
          <w:b/>
        </w:rPr>
        <w:t>Records</w:t>
      </w:r>
    </w:p>
    <w:p w14:paraId="35F7A8F8" w14:textId="4ADEE098" w:rsidR="00C72822" w:rsidRDefault="00CC704C" w:rsidP="00326F89">
      <w:pPr>
        <w:jc w:val="left"/>
      </w:pPr>
      <w:r>
        <w:t xml:space="preserve">The destruction of </w:t>
      </w:r>
      <w:r w:rsidR="0015185A">
        <w:t xml:space="preserve">paper </w:t>
      </w:r>
      <w:r>
        <w:t xml:space="preserve">personal data records must be conducted by shredding if possible. The destruction of electronic records must be conducted in </w:t>
      </w:r>
      <w:r w:rsidR="00C72822">
        <w:t xml:space="preserve">accordance with </w:t>
      </w:r>
      <w:r w:rsidR="007D0CD0">
        <w:t xml:space="preserve">Badminton </w:t>
      </w:r>
      <w:r w:rsidR="007D0CD0" w:rsidRPr="00506265">
        <w:t>England’s</w:t>
      </w:r>
      <w:r w:rsidR="00C72822" w:rsidRPr="00506265">
        <w:t xml:space="preserve"> IT</w:t>
      </w:r>
      <w:r w:rsidR="00506265" w:rsidRPr="00506265">
        <w:t xml:space="preserve"> </w:t>
      </w:r>
      <w:r w:rsidR="00C72822" w:rsidRPr="00506265">
        <w:t>Policy.</w:t>
      </w:r>
      <w:bookmarkStart w:id="0" w:name="_GoBack"/>
      <w:bookmarkEnd w:id="0"/>
      <w:r w:rsidR="00C72822">
        <w:t xml:space="preserve"> You must follow the processes put in place by the IT Department to ensure that all backups and copies are included in the destruction of records.</w:t>
      </w:r>
    </w:p>
    <w:p w14:paraId="791A08A2" w14:textId="77777777" w:rsidR="004F6D02" w:rsidRPr="004F6D02" w:rsidRDefault="004F6D02" w:rsidP="00326F89">
      <w:pPr>
        <w:jc w:val="left"/>
        <w:rPr>
          <w:b/>
        </w:rPr>
      </w:pPr>
      <w:r>
        <w:rPr>
          <w:b/>
        </w:rPr>
        <w:t>Preservation of Evidence</w:t>
      </w:r>
    </w:p>
    <w:p w14:paraId="76CA272F" w14:textId="5F022F0F" w:rsidR="007D6D42" w:rsidRDefault="007D0CD0" w:rsidP="00326F89">
      <w:pPr>
        <w:jc w:val="left"/>
      </w:pPr>
      <w:r>
        <w:t>Badminton England</w:t>
      </w:r>
      <w:r w:rsidR="00CC704C">
        <w:t xml:space="preserve"> requires </w:t>
      </w:r>
      <w:r w:rsidR="007D6D42">
        <w:t>you t</w:t>
      </w:r>
      <w:r w:rsidR="00CC704C">
        <w:t>o comply fully with</w:t>
      </w:r>
      <w:r w:rsidR="007D6D42">
        <w:t xml:space="preserve"> this policy and</w:t>
      </w:r>
      <w:r w:rsidR="00CC704C">
        <w:t xml:space="preserve"> the retention sch</w:t>
      </w:r>
      <w:r w:rsidR="007D6D42">
        <w:t xml:space="preserve">edule at Annex 1. </w:t>
      </w:r>
    </w:p>
    <w:p w14:paraId="444E2B7D" w14:textId="71D44204" w:rsidR="00CC704C" w:rsidRDefault="007D6D42" w:rsidP="00326F89">
      <w:pPr>
        <w:jc w:val="left"/>
      </w:pPr>
      <w:r>
        <w:t xml:space="preserve">You </w:t>
      </w:r>
      <w:r w:rsidR="00CC704C">
        <w:t xml:space="preserve">should note the following general exception to any stated destruction timeframe: If you believe, or the Legal Department informs you, that </w:t>
      </w:r>
      <w:r w:rsidR="007D0CD0">
        <w:t>Badminton England</w:t>
      </w:r>
      <w:r w:rsidR="00CC704C">
        <w:t xml:space="preserve"> records are relevant to a current Tribunal, County Court or High Court claim ("Claim"), a potential claim (that is a </w:t>
      </w:r>
      <w:r>
        <w:t>dispute</w:t>
      </w:r>
      <w:r w:rsidR="00CC704C">
        <w:t xml:space="preserve"> that could result in a Claim), government investigation, audit or other event you must preserve and not delete, dispose, destroy or change those personal data records, including emails, until the Legal Department determines those personal data records are no longer needed. </w:t>
      </w:r>
    </w:p>
    <w:p w14:paraId="05E7262B" w14:textId="77777777" w:rsidR="00C72822" w:rsidRDefault="00C72822" w:rsidP="00326F89">
      <w:pPr>
        <w:jc w:val="left"/>
      </w:pPr>
    </w:p>
    <w:p w14:paraId="0FAFE53D" w14:textId="77777777" w:rsidR="00532430" w:rsidRPr="00532430" w:rsidRDefault="00532430" w:rsidP="00532430">
      <w:pPr>
        <w:jc w:val="center"/>
        <w:rPr>
          <w:b/>
        </w:rPr>
      </w:pPr>
      <w:r w:rsidRPr="00532430">
        <w:rPr>
          <w:b/>
        </w:rPr>
        <w:lastRenderedPageBreak/>
        <w:t>ANNEX 1 – RECORDS RETENTION SCHEDULE</w:t>
      </w:r>
    </w:p>
    <w:p w14:paraId="69FA0FAD" w14:textId="77777777" w:rsidR="00532430" w:rsidRPr="00532430" w:rsidRDefault="00532430" w:rsidP="00532430">
      <w:pPr>
        <w:jc w:val="left"/>
        <w:rPr>
          <w:b/>
        </w:rPr>
      </w:pPr>
      <w:r>
        <w:rPr>
          <w:b/>
        </w:rPr>
        <w:t xml:space="preserve">EMPLOYMENT </w:t>
      </w:r>
      <w:r w:rsidR="002F5239">
        <w:rPr>
          <w:b/>
        </w:rPr>
        <w:t xml:space="preserve">PERSONAL DATA </w:t>
      </w:r>
      <w:r>
        <w:rPr>
          <w:b/>
        </w:rPr>
        <w:t>RECORDS</w:t>
      </w:r>
    </w:p>
    <w:tbl>
      <w:tblPr>
        <w:tblStyle w:val="TableGrid"/>
        <w:tblW w:w="9493" w:type="dxa"/>
        <w:tblLook w:val="04A0" w:firstRow="1" w:lastRow="0" w:firstColumn="1" w:lastColumn="0" w:noHBand="0" w:noVBand="1"/>
      </w:tblPr>
      <w:tblGrid>
        <w:gridCol w:w="3181"/>
        <w:gridCol w:w="2132"/>
        <w:gridCol w:w="4180"/>
      </w:tblGrid>
      <w:tr w:rsidR="009D7E66" w:rsidRPr="00EC340B" w14:paraId="5BDE0575" w14:textId="77777777" w:rsidTr="00B36C29">
        <w:trPr>
          <w:trHeight w:val="350"/>
          <w:tblHeader/>
        </w:trPr>
        <w:tc>
          <w:tcPr>
            <w:tcW w:w="3181" w:type="dxa"/>
          </w:tcPr>
          <w:p w14:paraId="39385ABB" w14:textId="77777777" w:rsidR="009D7E66" w:rsidRPr="00EC340B" w:rsidRDefault="009D7E66" w:rsidP="00532430">
            <w:pPr>
              <w:jc w:val="left"/>
              <w:rPr>
                <w:rFonts w:cs="Arial"/>
                <w:b/>
                <w:szCs w:val="20"/>
              </w:rPr>
            </w:pPr>
            <w:r w:rsidRPr="00EC340B">
              <w:rPr>
                <w:rFonts w:cs="Arial"/>
                <w:b/>
                <w:szCs w:val="20"/>
              </w:rPr>
              <w:t>Type of employment record</w:t>
            </w:r>
          </w:p>
        </w:tc>
        <w:tc>
          <w:tcPr>
            <w:tcW w:w="2132" w:type="dxa"/>
          </w:tcPr>
          <w:p w14:paraId="41FD8D94" w14:textId="77777777" w:rsidR="009D7E66" w:rsidRPr="00EC340B" w:rsidRDefault="009D7E66" w:rsidP="00532430">
            <w:pPr>
              <w:jc w:val="left"/>
              <w:rPr>
                <w:rFonts w:cs="Arial"/>
                <w:b/>
                <w:szCs w:val="20"/>
              </w:rPr>
            </w:pPr>
            <w:r w:rsidRPr="00EC340B">
              <w:rPr>
                <w:rFonts w:cs="Arial"/>
                <w:b/>
                <w:szCs w:val="20"/>
              </w:rPr>
              <w:t>Statutory Instrument / Code of Practice</w:t>
            </w:r>
          </w:p>
        </w:tc>
        <w:tc>
          <w:tcPr>
            <w:tcW w:w="4180" w:type="dxa"/>
          </w:tcPr>
          <w:p w14:paraId="372D31D8" w14:textId="77777777" w:rsidR="009D7E66" w:rsidRPr="00EC340B" w:rsidRDefault="009D7E66" w:rsidP="00677B38">
            <w:pPr>
              <w:rPr>
                <w:rFonts w:cs="Arial"/>
                <w:b/>
                <w:szCs w:val="20"/>
              </w:rPr>
            </w:pPr>
            <w:r w:rsidRPr="00EC340B">
              <w:rPr>
                <w:rFonts w:cs="Arial"/>
                <w:b/>
                <w:szCs w:val="20"/>
              </w:rPr>
              <w:t>Retention period or recommendation</w:t>
            </w:r>
          </w:p>
        </w:tc>
      </w:tr>
      <w:tr w:rsidR="009D7E66" w:rsidRPr="00EC340B" w14:paraId="3B5DFBCE" w14:textId="77777777" w:rsidTr="00B36C29">
        <w:tc>
          <w:tcPr>
            <w:tcW w:w="3181" w:type="dxa"/>
          </w:tcPr>
          <w:p w14:paraId="6F84391C"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Disclosure and Barring Service (DBS), formerly Criminal Records Bureau (CRB), checks and disclosures of criminal records forms</w:t>
            </w:r>
          </w:p>
        </w:tc>
        <w:tc>
          <w:tcPr>
            <w:tcW w:w="2132" w:type="dxa"/>
          </w:tcPr>
          <w:p w14:paraId="3E8FDEAF" w14:textId="77777777" w:rsidR="009D7E66" w:rsidRPr="00EC340B" w:rsidRDefault="009D7E66" w:rsidP="00532430">
            <w:pPr>
              <w:jc w:val="left"/>
              <w:rPr>
                <w:rFonts w:cs="Arial"/>
                <w:szCs w:val="20"/>
              </w:rPr>
            </w:pPr>
            <w:r w:rsidRPr="00EC340B">
              <w:rPr>
                <w:rFonts w:cs="Arial"/>
                <w:szCs w:val="20"/>
              </w:rPr>
              <w:t>ROA and Information Commissioner's Employment Practices Code Part 1.7.4 and 2.15.3</w:t>
            </w:r>
          </w:p>
        </w:tc>
        <w:tc>
          <w:tcPr>
            <w:tcW w:w="4180" w:type="dxa"/>
          </w:tcPr>
          <w:p w14:paraId="305EAEA0" w14:textId="77777777" w:rsidR="009D7E66" w:rsidRPr="00EC340B" w:rsidRDefault="009D7E66" w:rsidP="00677B38">
            <w:pPr>
              <w:rPr>
                <w:rFonts w:cs="Arial"/>
                <w:szCs w:val="20"/>
              </w:rPr>
            </w:pPr>
            <w:r w:rsidRPr="00EC340B">
              <w:rPr>
                <w:rFonts w:cs="Arial"/>
                <w:szCs w:val="20"/>
              </w:rPr>
              <w:t>Should be deleted following recruitment process unless assessed as relevant to ongoing employment relationship. Once the conviction is spent, should be deleted unless it is an excluded profession</w:t>
            </w:r>
          </w:p>
        </w:tc>
      </w:tr>
      <w:tr w:rsidR="009D7E66" w:rsidRPr="00EC340B" w14:paraId="6BBDD19C" w14:textId="77777777" w:rsidTr="00B36C29">
        <w:tc>
          <w:tcPr>
            <w:tcW w:w="3181" w:type="dxa"/>
          </w:tcPr>
          <w:p w14:paraId="1F91D2D9"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Job applications and interview records of unsuccessful candidates</w:t>
            </w:r>
          </w:p>
        </w:tc>
        <w:tc>
          <w:tcPr>
            <w:tcW w:w="2132" w:type="dxa"/>
          </w:tcPr>
          <w:p w14:paraId="38528D79" w14:textId="77777777" w:rsidR="009D7E66" w:rsidRPr="00EC340B" w:rsidRDefault="009D7E66" w:rsidP="00532430">
            <w:pPr>
              <w:jc w:val="left"/>
              <w:rPr>
                <w:rFonts w:cs="Arial"/>
                <w:szCs w:val="20"/>
              </w:rPr>
            </w:pPr>
            <w:r w:rsidRPr="00EC340B">
              <w:rPr>
                <w:rFonts w:cs="Arial"/>
                <w:szCs w:val="20"/>
              </w:rPr>
              <w:t>The Information Commissioner: Employment Practices Code Part 1: recruitment and selection (1.7.5)</w:t>
            </w:r>
          </w:p>
        </w:tc>
        <w:tc>
          <w:tcPr>
            <w:tcW w:w="4180" w:type="dxa"/>
          </w:tcPr>
          <w:p w14:paraId="520A2F1A" w14:textId="77777777" w:rsidR="009D7E66" w:rsidRPr="00EC340B" w:rsidRDefault="009D7E66" w:rsidP="00677B38">
            <w:pPr>
              <w:rPr>
                <w:rFonts w:cs="Arial"/>
                <w:szCs w:val="20"/>
              </w:rPr>
            </w:pPr>
            <w:r w:rsidRPr="00EC340B">
              <w:rPr>
                <w:rFonts w:cs="Arial"/>
                <w:szCs w:val="20"/>
              </w:rPr>
              <w:t>6 months after notifying unsuccessful candidates (or longer, if there is a clearly communicated policy to keep candidates CVs for future reference). Application forms should give applicants the opportunity to object to their details being retained.</w:t>
            </w:r>
          </w:p>
        </w:tc>
      </w:tr>
      <w:tr w:rsidR="009D7E66" w:rsidRPr="00EC340B" w14:paraId="6E2A12BC" w14:textId="77777777" w:rsidTr="00B36C29">
        <w:tc>
          <w:tcPr>
            <w:tcW w:w="3181" w:type="dxa"/>
          </w:tcPr>
          <w:p w14:paraId="6C1F2D5A"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 xml:space="preserve">Current Bank details </w:t>
            </w:r>
          </w:p>
        </w:tc>
        <w:tc>
          <w:tcPr>
            <w:tcW w:w="2132" w:type="dxa"/>
          </w:tcPr>
          <w:p w14:paraId="031BD441" w14:textId="77777777" w:rsidR="009D7E66" w:rsidRPr="00EC340B" w:rsidRDefault="009D7E66" w:rsidP="00532430">
            <w:pPr>
              <w:jc w:val="left"/>
              <w:rPr>
                <w:rFonts w:cs="Arial"/>
                <w:szCs w:val="20"/>
              </w:rPr>
            </w:pPr>
            <w:r w:rsidRPr="00EC340B">
              <w:rPr>
                <w:rFonts w:cs="Arial"/>
                <w:szCs w:val="20"/>
              </w:rPr>
              <w:t>N/A</w:t>
            </w:r>
          </w:p>
        </w:tc>
        <w:tc>
          <w:tcPr>
            <w:tcW w:w="4180" w:type="dxa"/>
          </w:tcPr>
          <w:p w14:paraId="5DAA6D25" w14:textId="77777777" w:rsidR="009D7E66" w:rsidRPr="00EC340B" w:rsidRDefault="009D7E66" w:rsidP="00677B38">
            <w:pPr>
              <w:rPr>
                <w:rFonts w:cs="Arial"/>
                <w:szCs w:val="20"/>
              </w:rPr>
            </w:pPr>
            <w:r w:rsidRPr="00EC340B">
              <w:rPr>
                <w:rFonts w:cs="Arial"/>
                <w:szCs w:val="20"/>
              </w:rPr>
              <w:t>No longer than necessary.</w:t>
            </w:r>
          </w:p>
        </w:tc>
      </w:tr>
      <w:tr w:rsidR="009D7E66" w:rsidRPr="00EC340B" w14:paraId="05828D40" w14:textId="77777777" w:rsidTr="00B36C29">
        <w:tc>
          <w:tcPr>
            <w:tcW w:w="3181" w:type="dxa"/>
          </w:tcPr>
          <w:p w14:paraId="5F1DB586"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color w:val="212121"/>
                <w:szCs w:val="20"/>
              </w:rPr>
              <w:t>Immigration checks</w:t>
            </w:r>
          </w:p>
        </w:tc>
        <w:tc>
          <w:tcPr>
            <w:tcW w:w="2132" w:type="dxa"/>
          </w:tcPr>
          <w:p w14:paraId="11C9C002" w14:textId="77777777" w:rsidR="009D7E66" w:rsidRPr="00EC340B" w:rsidRDefault="009D7E66" w:rsidP="00532430">
            <w:pPr>
              <w:jc w:val="left"/>
              <w:rPr>
                <w:rFonts w:cs="Arial"/>
                <w:szCs w:val="20"/>
              </w:rPr>
            </w:pPr>
            <w:r w:rsidRPr="00EC340B">
              <w:rPr>
                <w:rFonts w:cs="Arial"/>
                <w:szCs w:val="20"/>
              </w:rPr>
              <w:t>Immigration, Asylum and Nationality Act 2006</w:t>
            </w:r>
          </w:p>
        </w:tc>
        <w:tc>
          <w:tcPr>
            <w:tcW w:w="4180" w:type="dxa"/>
          </w:tcPr>
          <w:p w14:paraId="03D7B68A" w14:textId="77777777" w:rsidR="009D7E66" w:rsidRPr="00EC340B" w:rsidRDefault="009D7E66" w:rsidP="00677B38">
            <w:pPr>
              <w:rPr>
                <w:rFonts w:cs="Arial"/>
                <w:szCs w:val="20"/>
              </w:rPr>
            </w:pPr>
            <w:r w:rsidRPr="00EC340B">
              <w:rPr>
                <w:rFonts w:cs="Arial"/>
                <w:szCs w:val="20"/>
              </w:rPr>
              <w:t xml:space="preserve">2 years after termination of employment. </w:t>
            </w:r>
          </w:p>
        </w:tc>
      </w:tr>
      <w:tr w:rsidR="009D7E66" w:rsidRPr="00EC340B" w14:paraId="39123E16" w14:textId="77777777" w:rsidTr="00B36C29">
        <w:tc>
          <w:tcPr>
            <w:tcW w:w="3181" w:type="dxa"/>
          </w:tcPr>
          <w:p w14:paraId="7C717DCE"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color w:val="212121"/>
                <w:szCs w:val="20"/>
              </w:rPr>
              <w:t>Any reportable accident, death or injury in connection with work</w:t>
            </w:r>
          </w:p>
        </w:tc>
        <w:tc>
          <w:tcPr>
            <w:tcW w:w="2132" w:type="dxa"/>
          </w:tcPr>
          <w:p w14:paraId="28F43276" w14:textId="77777777" w:rsidR="009D7E66" w:rsidRPr="00EC340B" w:rsidRDefault="009D7E66" w:rsidP="00532430">
            <w:pPr>
              <w:jc w:val="left"/>
              <w:rPr>
                <w:rFonts w:cs="Arial"/>
                <w:szCs w:val="20"/>
              </w:rPr>
            </w:pPr>
            <w:r w:rsidRPr="00EC340B">
              <w:rPr>
                <w:rFonts w:cs="Arial"/>
                <w:szCs w:val="20"/>
              </w:rPr>
              <w:t>Schedule 1, Part II, Reporting of Injuries, Diseases and Dangerous Occurrences Regulations 2013 (SI 2013/1471)</w:t>
            </w:r>
          </w:p>
        </w:tc>
        <w:tc>
          <w:tcPr>
            <w:tcW w:w="4180" w:type="dxa"/>
          </w:tcPr>
          <w:p w14:paraId="3B409EA0" w14:textId="77777777" w:rsidR="009D7E66" w:rsidRPr="00EC340B" w:rsidRDefault="009D7E66" w:rsidP="00677B38">
            <w:pPr>
              <w:rPr>
                <w:rFonts w:cs="Arial"/>
                <w:szCs w:val="20"/>
              </w:rPr>
            </w:pPr>
            <w:r w:rsidRPr="00EC340B">
              <w:rPr>
                <w:rFonts w:cs="Arial"/>
                <w:szCs w:val="20"/>
              </w:rPr>
              <w:t xml:space="preserve">3 years at least from the date that the report was made. </w:t>
            </w:r>
          </w:p>
        </w:tc>
      </w:tr>
      <w:tr w:rsidR="009D7E66" w:rsidRPr="00EC340B" w14:paraId="5C7647A5" w14:textId="77777777" w:rsidTr="00B36C29">
        <w:tc>
          <w:tcPr>
            <w:tcW w:w="3181" w:type="dxa"/>
          </w:tcPr>
          <w:p w14:paraId="0BE4A34B"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Maternity records</w:t>
            </w:r>
          </w:p>
        </w:tc>
        <w:tc>
          <w:tcPr>
            <w:tcW w:w="2132" w:type="dxa"/>
          </w:tcPr>
          <w:p w14:paraId="5D592ACB" w14:textId="77777777" w:rsidR="009D7E66" w:rsidRPr="00EC340B" w:rsidRDefault="009D7E66" w:rsidP="00532430">
            <w:pPr>
              <w:jc w:val="left"/>
              <w:rPr>
                <w:rFonts w:cs="Arial"/>
                <w:szCs w:val="20"/>
              </w:rPr>
            </w:pPr>
            <w:r w:rsidRPr="00EC340B">
              <w:rPr>
                <w:rFonts w:cs="Arial"/>
                <w:szCs w:val="20"/>
              </w:rPr>
              <w:t>Regulation 26, Statutory Maternity Pay (General) Regulations 1986 (SI 1986/1960)</w:t>
            </w:r>
          </w:p>
        </w:tc>
        <w:tc>
          <w:tcPr>
            <w:tcW w:w="4180" w:type="dxa"/>
          </w:tcPr>
          <w:p w14:paraId="40CB9094" w14:textId="77777777" w:rsidR="009D7E66" w:rsidRPr="00EC340B" w:rsidRDefault="009D7E66" w:rsidP="00677B38">
            <w:pPr>
              <w:rPr>
                <w:rFonts w:cs="Arial"/>
                <w:szCs w:val="20"/>
              </w:rPr>
            </w:pPr>
            <w:r w:rsidRPr="00EC340B">
              <w:rPr>
                <w:rFonts w:cs="Arial"/>
                <w:szCs w:val="20"/>
              </w:rPr>
              <w:t>3 years after the end of the tax year in which the maternity pay period ends.</w:t>
            </w:r>
          </w:p>
        </w:tc>
      </w:tr>
      <w:tr w:rsidR="009D7E66" w:rsidRPr="00EC340B" w14:paraId="0888184E" w14:textId="77777777" w:rsidTr="00B36C29">
        <w:trPr>
          <w:trHeight w:val="1548"/>
        </w:trPr>
        <w:tc>
          <w:tcPr>
            <w:tcW w:w="3181" w:type="dxa"/>
          </w:tcPr>
          <w:p w14:paraId="40A76287"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Records in relation to hours worked and payments made to workers</w:t>
            </w:r>
          </w:p>
        </w:tc>
        <w:tc>
          <w:tcPr>
            <w:tcW w:w="2132" w:type="dxa"/>
          </w:tcPr>
          <w:p w14:paraId="707BA9DC" w14:textId="77777777" w:rsidR="009D7E66" w:rsidRPr="00EC340B" w:rsidRDefault="009D7E66" w:rsidP="00532430">
            <w:pPr>
              <w:jc w:val="left"/>
              <w:rPr>
                <w:rFonts w:cs="Arial"/>
                <w:szCs w:val="20"/>
              </w:rPr>
            </w:pPr>
            <w:r w:rsidRPr="00EC340B">
              <w:rPr>
                <w:rFonts w:cs="Arial"/>
                <w:szCs w:val="20"/>
              </w:rPr>
              <w:t>Section 9, National Minimum Wage Act 1998.</w:t>
            </w:r>
          </w:p>
          <w:p w14:paraId="53304E70" w14:textId="77777777" w:rsidR="009D7E66" w:rsidRPr="00EC340B" w:rsidRDefault="009D7E66" w:rsidP="00532430">
            <w:pPr>
              <w:jc w:val="left"/>
              <w:rPr>
                <w:rFonts w:cs="Arial"/>
                <w:szCs w:val="20"/>
              </w:rPr>
            </w:pPr>
            <w:r w:rsidRPr="00EC340B">
              <w:rPr>
                <w:rFonts w:cs="Arial"/>
                <w:szCs w:val="20"/>
              </w:rPr>
              <w:t>Regulation 59, National Minimum Wage Regulations 2015 (SI 2015/621)</w:t>
            </w:r>
          </w:p>
        </w:tc>
        <w:tc>
          <w:tcPr>
            <w:tcW w:w="4180" w:type="dxa"/>
          </w:tcPr>
          <w:p w14:paraId="7F3DFFB7" w14:textId="77777777" w:rsidR="009D7E66" w:rsidRPr="00EC340B" w:rsidRDefault="009D7E66" w:rsidP="00677B38">
            <w:pPr>
              <w:rPr>
                <w:rFonts w:cs="Arial"/>
                <w:szCs w:val="20"/>
              </w:rPr>
            </w:pPr>
            <w:r w:rsidRPr="00EC340B">
              <w:rPr>
                <w:rFonts w:cs="Arial"/>
                <w:szCs w:val="20"/>
              </w:rPr>
              <w:t>3 years beginning with the day upon which the pay reference period immediately following that to which they relate ends.</w:t>
            </w:r>
          </w:p>
        </w:tc>
      </w:tr>
      <w:tr w:rsidR="009D7E66" w:rsidRPr="00EC340B" w14:paraId="0BF1E56A" w14:textId="77777777" w:rsidTr="00B36C29">
        <w:trPr>
          <w:trHeight w:val="1431"/>
        </w:trPr>
        <w:tc>
          <w:tcPr>
            <w:tcW w:w="3181" w:type="dxa"/>
          </w:tcPr>
          <w:p w14:paraId="68190F85"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PAYE records</w:t>
            </w:r>
          </w:p>
        </w:tc>
        <w:tc>
          <w:tcPr>
            <w:tcW w:w="2132" w:type="dxa"/>
          </w:tcPr>
          <w:p w14:paraId="24756172" w14:textId="77777777" w:rsidR="009D7E66" w:rsidRPr="00EC340B" w:rsidRDefault="009D7E66" w:rsidP="00532430">
            <w:pPr>
              <w:jc w:val="left"/>
              <w:rPr>
                <w:rFonts w:cs="Arial"/>
                <w:szCs w:val="20"/>
              </w:rPr>
            </w:pPr>
            <w:r w:rsidRPr="00EC340B">
              <w:rPr>
                <w:rFonts w:cs="Arial"/>
                <w:szCs w:val="20"/>
              </w:rPr>
              <w:t>Regulation 97, Income Tax (Pay as You Earn) Regulations 2003</w:t>
            </w:r>
          </w:p>
        </w:tc>
        <w:tc>
          <w:tcPr>
            <w:tcW w:w="4180" w:type="dxa"/>
          </w:tcPr>
          <w:p w14:paraId="46281D1E" w14:textId="76F57F0C" w:rsidR="009D7E66" w:rsidRPr="00EC340B" w:rsidRDefault="009D7E66" w:rsidP="00913ACE">
            <w:pPr>
              <w:rPr>
                <w:rFonts w:cs="Arial"/>
                <w:szCs w:val="20"/>
              </w:rPr>
            </w:pPr>
            <w:r w:rsidRPr="00EC340B">
              <w:rPr>
                <w:rFonts w:cs="Arial"/>
                <w:szCs w:val="20"/>
              </w:rPr>
              <w:t>3 years after the end of the tax year to which they relate. However it is sensible to keep them for 6 years as they may fall</w:t>
            </w:r>
            <w:r w:rsidR="00913ACE">
              <w:rPr>
                <w:rFonts w:cs="Arial"/>
                <w:szCs w:val="20"/>
              </w:rPr>
              <w:t xml:space="preserve"> </w:t>
            </w:r>
            <w:r w:rsidR="00913ACE" w:rsidRPr="00EC340B">
              <w:rPr>
                <w:rFonts w:cs="Arial"/>
                <w:szCs w:val="20"/>
              </w:rPr>
              <w:t xml:space="preserve">within the definition of payroll and wage records (see below). </w:t>
            </w:r>
            <w:r w:rsidRPr="00EC340B">
              <w:rPr>
                <w:rFonts w:cs="Arial"/>
                <w:szCs w:val="20"/>
              </w:rPr>
              <w:t xml:space="preserve"> </w:t>
            </w:r>
          </w:p>
        </w:tc>
      </w:tr>
      <w:tr w:rsidR="009D7E66" w:rsidRPr="00EC340B" w14:paraId="5519A265" w14:textId="77777777" w:rsidTr="00B36C29">
        <w:tc>
          <w:tcPr>
            <w:tcW w:w="3181" w:type="dxa"/>
          </w:tcPr>
          <w:p w14:paraId="59FABAFE"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lastRenderedPageBreak/>
              <w:t>Personnel and training  records</w:t>
            </w:r>
          </w:p>
          <w:p w14:paraId="02E497EA"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Written particulars of employment, contracts of employment, and changes to terms and conditions.</w:t>
            </w:r>
          </w:p>
        </w:tc>
        <w:tc>
          <w:tcPr>
            <w:tcW w:w="2132" w:type="dxa"/>
          </w:tcPr>
          <w:p w14:paraId="16A4A63B" w14:textId="77777777" w:rsidR="009D7E66" w:rsidRPr="00EC340B" w:rsidRDefault="009D7E66" w:rsidP="00532430">
            <w:pPr>
              <w:jc w:val="left"/>
              <w:rPr>
                <w:rFonts w:cs="Arial"/>
                <w:szCs w:val="20"/>
              </w:rPr>
            </w:pPr>
            <w:r w:rsidRPr="00EC340B">
              <w:rPr>
                <w:rFonts w:cs="Arial"/>
                <w:szCs w:val="20"/>
              </w:rPr>
              <w:t>Whilst there is no legal requirement to keep them for this long, it is recommended these are kept for 6 years since these records may be relevant to a tribunal, County Court or High Court claim.</w:t>
            </w:r>
          </w:p>
        </w:tc>
        <w:tc>
          <w:tcPr>
            <w:tcW w:w="4180" w:type="dxa"/>
          </w:tcPr>
          <w:p w14:paraId="4589DE15" w14:textId="77777777" w:rsidR="009D7E66" w:rsidRPr="00EC340B" w:rsidRDefault="009D7E66" w:rsidP="00677B38">
            <w:pPr>
              <w:rPr>
                <w:rFonts w:cs="Arial"/>
                <w:szCs w:val="20"/>
              </w:rPr>
            </w:pPr>
            <w:r w:rsidRPr="00EC340B">
              <w:rPr>
                <w:rFonts w:cs="Arial"/>
                <w:szCs w:val="20"/>
              </w:rPr>
              <w:t>6 Years after employment ceases.</w:t>
            </w:r>
          </w:p>
        </w:tc>
      </w:tr>
      <w:tr w:rsidR="009D7E66" w:rsidRPr="00EC340B" w14:paraId="52CD8DEF" w14:textId="77777777" w:rsidTr="00B36C29">
        <w:tc>
          <w:tcPr>
            <w:tcW w:w="3181" w:type="dxa"/>
          </w:tcPr>
          <w:p w14:paraId="5377E391"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color w:val="212121"/>
                <w:szCs w:val="20"/>
              </w:rPr>
              <w:t>Working time opt-out forms</w:t>
            </w:r>
          </w:p>
          <w:p w14:paraId="39621A93"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color w:val="212121"/>
                <w:szCs w:val="20"/>
              </w:rPr>
              <w:t>Records to show you have complied with the Working Time Regulations (WTR)</w:t>
            </w:r>
          </w:p>
        </w:tc>
        <w:tc>
          <w:tcPr>
            <w:tcW w:w="2132" w:type="dxa"/>
          </w:tcPr>
          <w:p w14:paraId="03A25EA2" w14:textId="77777777" w:rsidR="009D7E66" w:rsidRPr="00EC340B" w:rsidRDefault="009D7E66" w:rsidP="00532430">
            <w:pPr>
              <w:jc w:val="left"/>
              <w:rPr>
                <w:rFonts w:cs="Arial"/>
                <w:szCs w:val="20"/>
              </w:rPr>
            </w:pPr>
            <w:r w:rsidRPr="00EC340B">
              <w:rPr>
                <w:rFonts w:cs="Arial"/>
                <w:szCs w:val="20"/>
              </w:rPr>
              <w:t>Regulations 5 and 9, Working Time Regulations 1998</w:t>
            </w:r>
          </w:p>
        </w:tc>
        <w:tc>
          <w:tcPr>
            <w:tcW w:w="4180" w:type="dxa"/>
          </w:tcPr>
          <w:p w14:paraId="07152F8B" w14:textId="4317E945" w:rsidR="009D7E66" w:rsidRPr="00EC340B" w:rsidRDefault="009D7E66" w:rsidP="00677B38">
            <w:pPr>
              <w:rPr>
                <w:rFonts w:cs="Arial"/>
                <w:szCs w:val="20"/>
              </w:rPr>
            </w:pPr>
            <w:r w:rsidRPr="00EC340B">
              <w:rPr>
                <w:rFonts w:cs="Arial"/>
                <w:szCs w:val="20"/>
              </w:rPr>
              <w:t xml:space="preserve">6 </w:t>
            </w:r>
            <w:r w:rsidR="0079528E">
              <w:rPr>
                <w:rFonts w:cs="Arial"/>
                <w:szCs w:val="20"/>
              </w:rPr>
              <w:t>y</w:t>
            </w:r>
            <w:r w:rsidRPr="00EC340B">
              <w:rPr>
                <w:rFonts w:cs="Arial"/>
                <w:szCs w:val="20"/>
              </w:rPr>
              <w:t xml:space="preserve">ears is advisable since such records may be relevant to a claim but the legal requirement is 2 years after the date that they were entered into/ the relevant period. </w:t>
            </w:r>
          </w:p>
        </w:tc>
      </w:tr>
      <w:tr w:rsidR="009D7E66" w:rsidRPr="00EC340B" w14:paraId="25D7A0C8" w14:textId="77777777" w:rsidTr="00B36C29">
        <w:tc>
          <w:tcPr>
            <w:tcW w:w="3181" w:type="dxa"/>
          </w:tcPr>
          <w:p w14:paraId="32CAEAA2"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Payroll and wage records</w:t>
            </w:r>
          </w:p>
        </w:tc>
        <w:tc>
          <w:tcPr>
            <w:tcW w:w="2132" w:type="dxa"/>
          </w:tcPr>
          <w:p w14:paraId="2D981667" w14:textId="77777777" w:rsidR="009D7E66" w:rsidRPr="00EC340B" w:rsidRDefault="009D7E66" w:rsidP="00532430">
            <w:pPr>
              <w:jc w:val="left"/>
              <w:rPr>
                <w:rFonts w:cs="Arial"/>
                <w:szCs w:val="20"/>
              </w:rPr>
            </w:pPr>
            <w:r w:rsidRPr="00EC340B">
              <w:rPr>
                <w:rFonts w:cs="Arial"/>
                <w:szCs w:val="20"/>
              </w:rPr>
              <w:t>Schedule 18, paragraph 21, Finance Act 1998</w:t>
            </w:r>
          </w:p>
        </w:tc>
        <w:tc>
          <w:tcPr>
            <w:tcW w:w="4180" w:type="dxa"/>
          </w:tcPr>
          <w:p w14:paraId="3EA0472F" w14:textId="77777777" w:rsidR="009D7E66" w:rsidRPr="00EC340B" w:rsidRDefault="009D7E66" w:rsidP="00677B38">
            <w:pPr>
              <w:rPr>
                <w:rFonts w:cs="Arial"/>
                <w:szCs w:val="20"/>
              </w:rPr>
            </w:pPr>
            <w:r w:rsidRPr="00EC340B">
              <w:rPr>
                <w:rFonts w:cs="Arial"/>
                <w:color w:val="212121"/>
                <w:szCs w:val="20"/>
              </w:rPr>
              <w:t>6 years from the financial year-end in which payments were made.</w:t>
            </w:r>
          </w:p>
        </w:tc>
      </w:tr>
      <w:tr w:rsidR="009D7E66" w:rsidRPr="00EC340B" w14:paraId="74882232" w14:textId="77777777" w:rsidTr="00B36C29">
        <w:trPr>
          <w:trHeight w:val="81"/>
        </w:trPr>
        <w:tc>
          <w:tcPr>
            <w:tcW w:w="3181" w:type="dxa"/>
          </w:tcPr>
          <w:p w14:paraId="5C3FCFCD"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Annual leave records</w:t>
            </w:r>
          </w:p>
        </w:tc>
        <w:tc>
          <w:tcPr>
            <w:tcW w:w="2132" w:type="dxa"/>
          </w:tcPr>
          <w:p w14:paraId="1713DFB0" w14:textId="77777777" w:rsidR="009D7E66" w:rsidRPr="00EC340B" w:rsidRDefault="009D7E66" w:rsidP="00532430">
            <w:pPr>
              <w:jc w:val="left"/>
              <w:rPr>
                <w:rFonts w:cs="Arial"/>
                <w:szCs w:val="20"/>
              </w:rPr>
            </w:pPr>
            <w:r w:rsidRPr="00EC340B">
              <w:rPr>
                <w:rFonts w:cs="Arial"/>
                <w:szCs w:val="20"/>
              </w:rPr>
              <w:t>N/A</w:t>
            </w:r>
          </w:p>
        </w:tc>
        <w:tc>
          <w:tcPr>
            <w:tcW w:w="4180" w:type="dxa"/>
          </w:tcPr>
          <w:p w14:paraId="70793236" w14:textId="77777777" w:rsidR="009D7E66" w:rsidRPr="00EC340B" w:rsidRDefault="009D7E66" w:rsidP="00677B38">
            <w:pPr>
              <w:rPr>
                <w:rFonts w:cs="Arial"/>
                <w:szCs w:val="20"/>
              </w:rPr>
            </w:pPr>
            <w:r w:rsidRPr="00EC340B">
              <w:rPr>
                <w:rFonts w:cs="Arial"/>
                <w:szCs w:val="20"/>
              </w:rPr>
              <w:t xml:space="preserve">6 years at least or longer if holiday leave can be carried over. </w:t>
            </w:r>
          </w:p>
        </w:tc>
      </w:tr>
      <w:tr w:rsidR="009D7E66" w:rsidRPr="00EC340B" w14:paraId="0FEDF97A" w14:textId="77777777" w:rsidTr="00B36C29">
        <w:trPr>
          <w:trHeight w:val="81"/>
        </w:trPr>
        <w:tc>
          <w:tcPr>
            <w:tcW w:w="3181" w:type="dxa"/>
          </w:tcPr>
          <w:p w14:paraId="2594DD9D"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Record of advances for season tickets and loans to employees; and</w:t>
            </w:r>
          </w:p>
          <w:p w14:paraId="5B0696D7"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Death Benefit Nomination and Revocation Forms</w:t>
            </w:r>
          </w:p>
        </w:tc>
        <w:tc>
          <w:tcPr>
            <w:tcW w:w="2132" w:type="dxa"/>
          </w:tcPr>
          <w:p w14:paraId="26D5A8E6" w14:textId="77777777" w:rsidR="009D7E66" w:rsidRPr="00EC340B" w:rsidRDefault="009D7E66" w:rsidP="00532430">
            <w:pPr>
              <w:jc w:val="left"/>
              <w:rPr>
                <w:rFonts w:cs="Arial"/>
                <w:szCs w:val="20"/>
              </w:rPr>
            </w:pPr>
            <w:r w:rsidRPr="00EC340B">
              <w:rPr>
                <w:rFonts w:cs="Arial"/>
                <w:szCs w:val="20"/>
              </w:rPr>
              <w:t>N/A</w:t>
            </w:r>
          </w:p>
        </w:tc>
        <w:tc>
          <w:tcPr>
            <w:tcW w:w="4180" w:type="dxa"/>
          </w:tcPr>
          <w:p w14:paraId="6DBD3D85" w14:textId="77777777" w:rsidR="009D7E66" w:rsidRPr="00EC340B" w:rsidRDefault="009D7E66" w:rsidP="00677B38">
            <w:pPr>
              <w:rPr>
                <w:rFonts w:cs="Arial"/>
                <w:szCs w:val="20"/>
              </w:rPr>
            </w:pPr>
            <w:r w:rsidRPr="00EC340B">
              <w:rPr>
                <w:rFonts w:cs="Arial"/>
                <w:szCs w:val="20"/>
              </w:rPr>
              <w:t xml:space="preserve">6 years after repayment/ payment of benefit and during employment. </w:t>
            </w:r>
          </w:p>
        </w:tc>
      </w:tr>
      <w:tr w:rsidR="009D7E66" w:rsidRPr="00EC340B" w14:paraId="3CF34AB8" w14:textId="77777777" w:rsidTr="00B36C29">
        <w:trPr>
          <w:trHeight w:val="81"/>
        </w:trPr>
        <w:tc>
          <w:tcPr>
            <w:tcW w:w="3181" w:type="dxa"/>
          </w:tcPr>
          <w:p w14:paraId="37886F00"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Consents for the processing of personal and sensitive data.</w:t>
            </w:r>
          </w:p>
        </w:tc>
        <w:tc>
          <w:tcPr>
            <w:tcW w:w="2132" w:type="dxa"/>
          </w:tcPr>
          <w:p w14:paraId="081716E4" w14:textId="77777777" w:rsidR="009D7E66" w:rsidRPr="00EC340B" w:rsidRDefault="009D7E66" w:rsidP="00532430">
            <w:pPr>
              <w:jc w:val="left"/>
              <w:rPr>
                <w:rFonts w:cs="Arial"/>
                <w:szCs w:val="20"/>
              </w:rPr>
            </w:pPr>
            <w:r w:rsidRPr="00EC340B">
              <w:rPr>
                <w:rFonts w:cs="Arial"/>
                <w:szCs w:val="20"/>
              </w:rPr>
              <w:t>Schedule 1, Data Protection Act</w:t>
            </w:r>
          </w:p>
        </w:tc>
        <w:tc>
          <w:tcPr>
            <w:tcW w:w="4180" w:type="dxa"/>
          </w:tcPr>
          <w:p w14:paraId="78D5CBAB" w14:textId="77777777" w:rsidR="009D7E66" w:rsidRPr="00EC340B" w:rsidRDefault="009D7E66" w:rsidP="00677B38">
            <w:pPr>
              <w:rPr>
                <w:rFonts w:cs="Arial"/>
                <w:szCs w:val="20"/>
              </w:rPr>
            </w:pPr>
            <w:r w:rsidRPr="00EC340B">
              <w:rPr>
                <w:rFonts w:cs="Arial"/>
                <w:szCs w:val="20"/>
              </w:rPr>
              <w:t xml:space="preserve">6 years after the data is processed and for as long as the data is processed. </w:t>
            </w:r>
          </w:p>
        </w:tc>
      </w:tr>
      <w:tr w:rsidR="009D7E66" w:rsidRPr="00EC340B" w14:paraId="1C3C4993" w14:textId="77777777" w:rsidTr="00B36C29">
        <w:tc>
          <w:tcPr>
            <w:tcW w:w="3181" w:type="dxa"/>
          </w:tcPr>
          <w:p w14:paraId="5C864863"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Collective Workforce Agreements; and</w:t>
            </w:r>
          </w:p>
          <w:p w14:paraId="2693EC1C" w14:textId="77777777" w:rsidR="009D7E66" w:rsidRPr="00EC340B" w:rsidRDefault="009D7E66" w:rsidP="00B36C29">
            <w:pPr>
              <w:pStyle w:val="ListParagraph"/>
              <w:numPr>
                <w:ilvl w:val="0"/>
                <w:numId w:val="13"/>
              </w:numPr>
              <w:ind w:left="454" w:hanging="283"/>
              <w:jc w:val="left"/>
              <w:rPr>
                <w:rFonts w:cs="Arial"/>
                <w:szCs w:val="20"/>
              </w:rPr>
            </w:pPr>
            <w:r w:rsidRPr="00EC340B">
              <w:rPr>
                <w:rFonts w:cs="Arial"/>
                <w:szCs w:val="20"/>
              </w:rPr>
              <w:t>Works Council minutes</w:t>
            </w:r>
          </w:p>
        </w:tc>
        <w:tc>
          <w:tcPr>
            <w:tcW w:w="2132" w:type="dxa"/>
          </w:tcPr>
          <w:p w14:paraId="13D5C877" w14:textId="77777777" w:rsidR="009D7E66" w:rsidRPr="00EC340B" w:rsidRDefault="009D7E66" w:rsidP="00532430">
            <w:pPr>
              <w:jc w:val="left"/>
              <w:rPr>
                <w:rFonts w:cs="Arial"/>
                <w:szCs w:val="20"/>
              </w:rPr>
            </w:pPr>
            <w:r w:rsidRPr="00EC340B">
              <w:rPr>
                <w:rFonts w:cs="Arial"/>
                <w:szCs w:val="20"/>
              </w:rPr>
              <w:t>N/A</w:t>
            </w:r>
          </w:p>
        </w:tc>
        <w:tc>
          <w:tcPr>
            <w:tcW w:w="4180" w:type="dxa"/>
          </w:tcPr>
          <w:p w14:paraId="0B782BFD" w14:textId="77777777" w:rsidR="009D7E66" w:rsidRPr="00EC340B" w:rsidRDefault="009D7E66" w:rsidP="00677B38">
            <w:pPr>
              <w:rPr>
                <w:rFonts w:cs="Arial"/>
                <w:szCs w:val="20"/>
              </w:rPr>
            </w:pPr>
            <w:r w:rsidRPr="00EC340B">
              <w:rPr>
                <w:rFonts w:cs="Arial"/>
                <w:szCs w:val="20"/>
              </w:rPr>
              <w:t>Permanently.</w:t>
            </w:r>
          </w:p>
        </w:tc>
      </w:tr>
    </w:tbl>
    <w:p w14:paraId="4FDF5CE0" w14:textId="77777777" w:rsidR="00D4731E" w:rsidRDefault="00D4731E" w:rsidP="001467A9">
      <w:pPr>
        <w:rPr>
          <w:rFonts w:cs="Arial"/>
          <w:szCs w:val="20"/>
        </w:rPr>
      </w:pPr>
    </w:p>
    <w:p w14:paraId="46FADA5C" w14:textId="77777777" w:rsidR="00B857D4" w:rsidRDefault="00B857D4" w:rsidP="001467A9">
      <w:pPr>
        <w:rPr>
          <w:rFonts w:cs="Arial"/>
          <w:szCs w:val="20"/>
        </w:rPr>
      </w:pPr>
    </w:p>
    <w:p w14:paraId="2097E539" w14:textId="77777777" w:rsidR="00B857D4" w:rsidRDefault="00B857D4" w:rsidP="001467A9">
      <w:pPr>
        <w:rPr>
          <w:rFonts w:cs="Arial"/>
          <w:szCs w:val="20"/>
        </w:rPr>
      </w:pPr>
    </w:p>
    <w:p w14:paraId="7EDAF139" w14:textId="77777777" w:rsidR="0079528E" w:rsidRDefault="0079528E" w:rsidP="008349A2">
      <w:pPr>
        <w:jc w:val="left"/>
        <w:rPr>
          <w:rFonts w:cs="Arial"/>
          <w:b/>
          <w:szCs w:val="20"/>
        </w:rPr>
      </w:pPr>
    </w:p>
    <w:p w14:paraId="3065192F" w14:textId="77777777" w:rsidR="0079528E" w:rsidRDefault="0079528E" w:rsidP="008349A2">
      <w:pPr>
        <w:jc w:val="left"/>
        <w:rPr>
          <w:rFonts w:cs="Arial"/>
          <w:b/>
          <w:szCs w:val="20"/>
        </w:rPr>
      </w:pPr>
    </w:p>
    <w:p w14:paraId="3183F51E" w14:textId="77777777" w:rsidR="0079528E" w:rsidRDefault="0079528E" w:rsidP="008349A2">
      <w:pPr>
        <w:jc w:val="left"/>
        <w:rPr>
          <w:rFonts w:cs="Arial"/>
          <w:b/>
          <w:szCs w:val="20"/>
        </w:rPr>
      </w:pPr>
    </w:p>
    <w:p w14:paraId="2E5F5FF5" w14:textId="77777777" w:rsidR="0079528E" w:rsidRDefault="0079528E" w:rsidP="008349A2">
      <w:pPr>
        <w:jc w:val="left"/>
        <w:rPr>
          <w:rFonts w:cs="Arial"/>
          <w:b/>
          <w:szCs w:val="20"/>
        </w:rPr>
      </w:pPr>
    </w:p>
    <w:p w14:paraId="1BF10E9A" w14:textId="77777777" w:rsidR="0079528E" w:rsidRDefault="0079528E" w:rsidP="008349A2">
      <w:pPr>
        <w:jc w:val="left"/>
        <w:rPr>
          <w:rFonts w:cs="Arial"/>
          <w:b/>
          <w:szCs w:val="20"/>
        </w:rPr>
      </w:pPr>
    </w:p>
    <w:p w14:paraId="09C9E032" w14:textId="77777777" w:rsidR="0079528E" w:rsidRDefault="0079528E" w:rsidP="008349A2">
      <w:pPr>
        <w:jc w:val="left"/>
        <w:rPr>
          <w:rFonts w:cs="Arial"/>
          <w:b/>
          <w:szCs w:val="20"/>
        </w:rPr>
      </w:pPr>
    </w:p>
    <w:p w14:paraId="7E418176" w14:textId="3765608C" w:rsidR="00532430" w:rsidRPr="002F5239" w:rsidRDefault="00532430" w:rsidP="00B36C29">
      <w:pPr>
        <w:jc w:val="center"/>
        <w:rPr>
          <w:rFonts w:cs="Arial"/>
          <w:b/>
          <w:szCs w:val="20"/>
        </w:rPr>
      </w:pPr>
      <w:r w:rsidRPr="002F5239">
        <w:rPr>
          <w:rFonts w:cs="Arial"/>
          <w:b/>
          <w:szCs w:val="20"/>
        </w:rPr>
        <w:lastRenderedPageBreak/>
        <w:t>PERSONAL DATA RECORDS</w:t>
      </w:r>
    </w:p>
    <w:p w14:paraId="32109031" w14:textId="3760D5CF" w:rsidR="00B857D4" w:rsidRDefault="00B857D4" w:rsidP="001467A9">
      <w:pPr>
        <w:rPr>
          <w:rFonts w:cs="Arial"/>
          <w:szCs w:val="20"/>
        </w:rPr>
      </w:pPr>
      <w:r>
        <w:rPr>
          <w:rFonts w:cs="Arial"/>
          <w:szCs w:val="20"/>
        </w:rPr>
        <w:t>A "corporate</w:t>
      </w:r>
      <w:r w:rsidR="0079528E">
        <w:rPr>
          <w:rFonts w:cs="Arial"/>
          <w:szCs w:val="20"/>
        </w:rPr>
        <w:t xml:space="preserve"> supplier / contractor / partner / stakeholder”</w:t>
      </w:r>
      <w:r>
        <w:rPr>
          <w:rFonts w:cs="Arial"/>
          <w:szCs w:val="20"/>
        </w:rPr>
        <w:t xml:space="preserve"> is an individual within a client organisation</w:t>
      </w:r>
      <w:r w:rsidR="00716EBB">
        <w:rPr>
          <w:rFonts w:cs="Arial"/>
          <w:szCs w:val="20"/>
        </w:rPr>
        <w:t xml:space="preserve"> acting in their professional capacity</w:t>
      </w:r>
      <w:r>
        <w:rPr>
          <w:rFonts w:cs="Arial"/>
          <w:szCs w:val="20"/>
        </w:rPr>
        <w:t xml:space="preserve"> from whom </w:t>
      </w:r>
      <w:r w:rsidR="007D0CD0">
        <w:rPr>
          <w:rFonts w:cs="Arial"/>
          <w:szCs w:val="20"/>
        </w:rPr>
        <w:t>Badminton England</w:t>
      </w:r>
      <w:r>
        <w:rPr>
          <w:rFonts w:cs="Arial"/>
          <w:szCs w:val="20"/>
        </w:rPr>
        <w:t xml:space="preserve"> collects personal data</w:t>
      </w:r>
      <w:r w:rsidR="00297A43">
        <w:rPr>
          <w:rFonts w:cs="Arial"/>
          <w:szCs w:val="20"/>
        </w:rPr>
        <w:t xml:space="preserve"> (such as their name, role within the organisation, work email address, </w:t>
      </w:r>
      <w:r w:rsidR="00506265">
        <w:rPr>
          <w:rFonts w:cs="Arial"/>
          <w:szCs w:val="20"/>
        </w:rPr>
        <w:t>etc.</w:t>
      </w:r>
      <w:r w:rsidR="00297A43">
        <w:rPr>
          <w:rFonts w:cs="Arial"/>
          <w:szCs w:val="20"/>
        </w:rPr>
        <w:t>)</w:t>
      </w:r>
      <w:r>
        <w:rPr>
          <w:rFonts w:cs="Arial"/>
          <w:szCs w:val="20"/>
        </w:rPr>
        <w:t xml:space="preserve">. </w:t>
      </w:r>
    </w:p>
    <w:p w14:paraId="40787940" w14:textId="18F73819" w:rsidR="00297A43" w:rsidRDefault="00297A43" w:rsidP="001467A9">
      <w:pPr>
        <w:rPr>
          <w:rFonts w:cs="Arial"/>
          <w:szCs w:val="20"/>
        </w:rPr>
      </w:pPr>
      <w:r>
        <w:rPr>
          <w:rFonts w:cs="Arial"/>
          <w:szCs w:val="20"/>
        </w:rPr>
        <w:t>An "individual</w:t>
      </w:r>
      <w:r w:rsidR="0079528E">
        <w:rPr>
          <w:rFonts w:cs="Arial"/>
          <w:szCs w:val="20"/>
        </w:rPr>
        <w:t xml:space="preserve"> member / coach / participant / fan / customer”</w:t>
      </w:r>
      <w:r>
        <w:rPr>
          <w:rFonts w:cs="Arial"/>
          <w:szCs w:val="20"/>
        </w:rPr>
        <w:t xml:space="preserve"> is an individual acting in their personal capacity from whom </w:t>
      </w:r>
      <w:r w:rsidR="007D0CD0">
        <w:rPr>
          <w:rFonts w:cs="Arial"/>
          <w:szCs w:val="20"/>
        </w:rPr>
        <w:t>Badminton England</w:t>
      </w:r>
      <w:r>
        <w:rPr>
          <w:rFonts w:cs="Arial"/>
          <w:szCs w:val="20"/>
        </w:rPr>
        <w:t xml:space="preserve"> collects personal data</w:t>
      </w:r>
      <w:r w:rsidR="007D6D42">
        <w:rPr>
          <w:rFonts w:cs="Arial"/>
          <w:szCs w:val="20"/>
        </w:rPr>
        <w:t xml:space="preserve"> (name, personal email address, </w:t>
      </w:r>
      <w:r w:rsidR="00506265">
        <w:rPr>
          <w:rFonts w:cs="Arial"/>
          <w:szCs w:val="20"/>
        </w:rPr>
        <w:t>etc.</w:t>
      </w:r>
      <w:r w:rsidR="007D6D42">
        <w:rPr>
          <w:rFonts w:cs="Arial"/>
          <w:szCs w:val="20"/>
        </w:rPr>
        <w:t>)</w:t>
      </w:r>
      <w:r>
        <w:rPr>
          <w:rFonts w:cs="Arial"/>
          <w:szCs w:val="20"/>
        </w:rPr>
        <w:t xml:space="preserve">. </w:t>
      </w:r>
    </w:p>
    <w:tbl>
      <w:tblPr>
        <w:tblStyle w:val="TableGrid"/>
        <w:tblW w:w="0" w:type="auto"/>
        <w:tblLook w:val="04A0" w:firstRow="1" w:lastRow="0" w:firstColumn="1" w:lastColumn="0" w:noHBand="0" w:noVBand="1"/>
      </w:tblPr>
      <w:tblGrid>
        <w:gridCol w:w="3258"/>
        <w:gridCol w:w="2160"/>
        <w:gridCol w:w="4090"/>
      </w:tblGrid>
      <w:tr w:rsidR="0079528E" w:rsidRPr="00EC340B" w14:paraId="3F00E843" w14:textId="77777777" w:rsidTr="0096255A">
        <w:trPr>
          <w:trHeight w:val="350"/>
          <w:tblHeader/>
        </w:trPr>
        <w:tc>
          <w:tcPr>
            <w:tcW w:w="3258" w:type="dxa"/>
          </w:tcPr>
          <w:p w14:paraId="68D050BB" w14:textId="77777777" w:rsidR="002F5239" w:rsidRPr="00EC340B" w:rsidRDefault="002F5239" w:rsidP="002F5239">
            <w:pPr>
              <w:jc w:val="left"/>
              <w:rPr>
                <w:rFonts w:cs="Arial"/>
                <w:b/>
                <w:szCs w:val="20"/>
              </w:rPr>
            </w:pPr>
            <w:r w:rsidRPr="00EC340B">
              <w:rPr>
                <w:rFonts w:cs="Arial"/>
                <w:b/>
                <w:szCs w:val="20"/>
              </w:rPr>
              <w:t>Type of record</w:t>
            </w:r>
          </w:p>
        </w:tc>
        <w:tc>
          <w:tcPr>
            <w:tcW w:w="2160" w:type="dxa"/>
          </w:tcPr>
          <w:p w14:paraId="1AB616E3" w14:textId="77777777" w:rsidR="002F5239" w:rsidRPr="00EC340B" w:rsidRDefault="002F5239" w:rsidP="0096255A">
            <w:pPr>
              <w:jc w:val="left"/>
              <w:rPr>
                <w:rFonts w:cs="Arial"/>
                <w:b/>
                <w:szCs w:val="20"/>
              </w:rPr>
            </w:pPr>
            <w:r w:rsidRPr="00EC340B">
              <w:rPr>
                <w:rFonts w:cs="Arial"/>
                <w:b/>
                <w:szCs w:val="20"/>
              </w:rPr>
              <w:t>Statutory Instrument / Code of Practice</w:t>
            </w:r>
          </w:p>
        </w:tc>
        <w:tc>
          <w:tcPr>
            <w:tcW w:w="4090" w:type="dxa"/>
          </w:tcPr>
          <w:p w14:paraId="5698CD18" w14:textId="77777777" w:rsidR="002F5239" w:rsidRPr="00EC340B" w:rsidRDefault="002F5239" w:rsidP="0096255A">
            <w:pPr>
              <w:rPr>
                <w:rFonts w:cs="Arial"/>
                <w:b/>
                <w:szCs w:val="20"/>
              </w:rPr>
            </w:pPr>
            <w:r w:rsidRPr="00EC340B">
              <w:rPr>
                <w:rFonts w:cs="Arial"/>
                <w:b/>
                <w:szCs w:val="20"/>
              </w:rPr>
              <w:t>Retention period or recommendation</w:t>
            </w:r>
          </w:p>
        </w:tc>
      </w:tr>
      <w:tr w:rsidR="0079528E" w:rsidRPr="00EC340B" w14:paraId="6C962335" w14:textId="77777777" w:rsidTr="0096255A">
        <w:tc>
          <w:tcPr>
            <w:tcW w:w="3258" w:type="dxa"/>
          </w:tcPr>
          <w:p w14:paraId="20DB2450" w14:textId="22EAA7AE" w:rsidR="00B857D4" w:rsidRPr="00EC340B" w:rsidRDefault="00B857D4" w:rsidP="00B36C29">
            <w:pPr>
              <w:pStyle w:val="ListParagraph"/>
              <w:numPr>
                <w:ilvl w:val="0"/>
                <w:numId w:val="14"/>
              </w:numPr>
              <w:ind w:left="454" w:hanging="283"/>
              <w:jc w:val="left"/>
              <w:rPr>
                <w:rFonts w:cs="Arial"/>
                <w:szCs w:val="20"/>
              </w:rPr>
            </w:pPr>
            <w:r>
              <w:rPr>
                <w:rFonts w:cs="Arial"/>
                <w:szCs w:val="20"/>
              </w:rPr>
              <w:t>Corporate</w:t>
            </w:r>
            <w:r w:rsidR="0079528E">
              <w:rPr>
                <w:rFonts w:cs="Arial"/>
                <w:szCs w:val="20"/>
              </w:rPr>
              <w:t xml:space="preserve"> supplier / contractor / partner / stakeholder </w:t>
            </w:r>
            <w:r w:rsidR="00297A43">
              <w:rPr>
                <w:rFonts w:cs="Arial"/>
                <w:szCs w:val="20"/>
              </w:rPr>
              <w:t>contact details in respect of a purchase</w:t>
            </w:r>
            <w:r w:rsidR="0079528E">
              <w:rPr>
                <w:rFonts w:cs="Arial"/>
                <w:szCs w:val="20"/>
              </w:rPr>
              <w:t xml:space="preserve"> by</w:t>
            </w:r>
            <w:r w:rsidR="00297A43">
              <w:rPr>
                <w:rFonts w:cs="Arial"/>
                <w:szCs w:val="20"/>
              </w:rPr>
              <w:t xml:space="preserve"> </w:t>
            </w:r>
            <w:r w:rsidR="0079528E">
              <w:rPr>
                <w:rFonts w:cs="Arial"/>
                <w:szCs w:val="20"/>
              </w:rPr>
              <w:t>or transaction with</w:t>
            </w:r>
            <w:r w:rsidR="00297A43">
              <w:rPr>
                <w:rFonts w:cs="Arial"/>
                <w:szCs w:val="20"/>
              </w:rPr>
              <w:t xml:space="preserve"> the corporate </w:t>
            </w:r>
            <w:r w:rsidR="0079528E">
              <w:rPr>
                <w:rFonts w:cs="Arial"/>
                <w:szCs w:val="20"/>
              </w:rPr>
              <w:t xml:space="preserve">individual </w:t>
            </w:r>
            <w:r w:rsidR="00297A43">
              <w:rPr>
                <w:rFonts w:cs="Arial"/>
                <w:szCs w:val="20"/>
              </w:rPr>
              <w:t xml:space="preserve">of </w:t>
            </w:r>
            <w:r w:rsidR="007D0CD0">
              <w:rPr>
                <w:rFonts w:cs="Arial"/>
                <w:szCs w:val="20"/>
              </w:rPr>
              <w:t>Badminton England</w:t>
            </w:r>
            <w:r w:rsidR="00297A43">
              <w:rPr>
                <w:rFonts w:cs="Arial"/>
                <w:szCs w:val="20"/>
              </w:rPr>
              <w:t>'</w:t>
            </w:r>
            <w:r w:rsidR="002A1A01">
              <w:rPr>
                <w:rFonts w:cs="Arial"/>
                <w:szCs w:val="20"/>
              </w:rPr>
              <w:t>s</w:t>
            </w:r>
            <w:r w:rsidR="00297A43">
              <w:rPr>
                <w:rFonts w:cs="Arial"/>
                <w:szCs w:val="20"/>
              </w:rPr>
              <w:t xml:space="preserve"> products</w:t>
            </w:r>
            <w:r w:rsidR="002A1A01">
              <w:rPr>
                <w:rFonts w:cs="Arial"/>
                <w:szCs w:val="20"/>
              </w:rPr>
              <w:t xml:space="preserve"> or services</w:t>
            </w:r>
            <w:r w:rsidR="00297A43">
              <w:rPr>
                <w:rFonts w:cs="Arial"/>
                <w:szCs w:val="20"/>
              </w:rPr>
              <w:t>.</w:t>
            </w:r>
          </w:p>
        </w:tc>
        <w:tc>
          <w:tcPr>
            <w:tcW w:w="2160" w:type="dxa"/>
          </w:tcPr>
          <w:p w14:paraId="120CDFF7" w14:textId="77777777" w:rsidR="00B857D4" w:rsidRPr="00EC340B" w:rsidRDefault="00B857D4" w:rsidP="00B857D4">
            <w:pPr>
              <w:jc w:val="left"/>
              <w:rPr>
                <w:rFonts w:cs="Arial"/>
                <w:szCs w:val="20"/>
              </w:rPr>
            </w:pPr>
            <w:r w:rsidRPr="00EC340B">
              <w:rPr>
                <w:rFonts w:cs="Arial"/>
                <w:szCs w:val="20"/>
              </w:rPr>
              <w:t>Whilst there is no legal requirement to keep them for this long, it is recommended these are kept for 6 years since these records may be relevant to a County Court or High Court claim.</w:t>
            </w:r>
          </w:p>
        </w:tc>
        <w:tc>
          <w:tcPr>
            <w:tcW w:w="4090" w:type="dxa"/>
          </w:tcPr>
          <w:p w14:paraId="12F8C479" w14:textId="535E8E1E" w:rsidR="00B857D4" w:rsidRPr="00EC340B" w:rsidRDefault="00B857D4" w:rsidP="0079528E">
            <w:pPr>
              <w:jc w:val="left"/>
              <w:rPr>
                <w:rFonts w:cs="Arial"/>
                <w:szCs w:val="20"/>
              </w:rPr>
            </w:pPr>
            <w:r>
              <w:rPr>
                <w:rFonts w:cs="Arial"/>
                <w:szCs w:val="20"/>
              </w:rPr>
              <w:t xml:space="preserve">6 years after the </w:t>
            </w:r>
            <w:r w:rsidR="0079528E">
              <w:rPr>
                <w:rFonts w:cs="Arial"/>
                <w:szCs w:val="20"/>
              </w:rPr>
              <w:t xml:space="preserve">corporate supplier / contractor / partner / stakeholder </w:t>
            </w:r>
            <w:r>
              <w:rPr>
                <w:rFonts w:cs="Arial"/>
                <w:szCs w:val="20"/>
              </w:rPr>
              <w:t>has purchased a product from</w:t>
            </w:r>
            <w:r w:rsidR="0079528E">
              <w:rPr>
                <w:rFonts w:cs="Arial"/>
                <w:szCs w:val="20"/>
              </w:rPr>
              <w:t>, or transacted with,</w:t>
            </w:r>
            <w:r>
              <w:rPr>
                <w:rFonts w:cs="Arial"/>
                <w:szCs w:val="20"/>
              </w:rPr>
              <w:t xml:space="preserve"> </w:t>
            </w:r>
            <w:r w:rsidR="007D0CD0">
              <w:rPr>
                <w:rFonts w:cs="Arial"/>
                <w:szCs w:val="20"/>
              </w:rPr>
              <w:t>Badminton England</w:t>
            </w:r>
          </w:p>
        </w:tc>
      </w:tr>
      <w:tr w:rsidR="0079528E" w:rsidRPr="00EC340B" w14:paraId="36ABE609" w14:textId="77777777" w:rsidTr="0096255A">
        <w:tc>
          <w:tcPr>
            <w:tcW w:w="3258" w:type="dxa"/>
          </w:tcPr>
          <w:p w14:paraId="56D18C82" w14:textId="43049C3D" w:rsidR="009B6D57" w:rsidRDefault="009B6D57" w:rsidP="00B36C29">
            <w:pPr>
              <w:pStyle w:val="ListParagraph"/>
              <w:numPr>
                <w:ilvl w:val="0"/>
                <w:numId w:val="14"/>
              </w:numPr>
              <w:ind w:left="454" w:hanging="283"/>
              <w:jc w:val="left"/>
              <w:rPr>
                <w:rFonts w:cs="Arial"/>
                <w:szCs w:val="20"/>
              </w:rPr>
            </w:pPr>
            <w:r>
              <w:rPr>
                <w:rFonts w:cs="Arial"/>
                <w:szCs w:val="20"/>
              </w:rPr>
              <w:t>Individual</w:t>
            </w:r>
            <w:r w:rsidR="0079528E">
              <w:rPr>
                <w:rFonts w:cs="Arial"/>
                <w:szCs w:val="20"/>
              </w:rPr>
              <w:t xml:space="preserve"> member / coach / participant / fan / customer</w:t>
            </w:r>
            <w:r w:rsidR="008349A2">
              <w:rPr>
                <w:rFonts w:cs="Arial"/>
                <w:szCs w:val="20"/>
              </w:rPr>
              <w:t xml:space="preserve">'s </w:t>
            </w:r>
            <w:r>
              <w:rPr>
                <w:rFonts w:cs="Arial"/>
                <w:szCs w:val="20"/>
              </w:rPr>
              <w:t xml:space="preserve">contact details in respect of a purchase </w:t>
            </w:r>
            <w:r w:rsidR="0079528E">
              <w:rPr>
                <w:rFonts w:cs="Arial"/>
                <w:szCs w:val="20"/>
              </w:rPr>
              <w:t xml:space="preserve">or transaction </w:t>
            </w:r>
            <w:r>
              <w:rPr>
                <w:rFonts w:cs="Arial"/>
                <w:szCs w:val="20"/>
              </w:rPr>
              <w:t xml:space="preserve">by the individual customer of </w:t>
            </w:r>
            <w:r w:rsidR="007D0CD0">
              <w:rPr>
                <w:rFonts w:cs="Arial"/>
                <w:szCs w:val="20"/>
              </w:rPr>
              <w:t>Badminton England</w:t>
            </w:r>
            <w:r>
              <w:rPr>
                <w:rFonts w:cs="Arial"/>
                <w:szCs w:val="20"/>
              </w:rPr>
              <w:t>'</w:t>
            </w:r>
            <w:r w:rsidR="002A1A01">
              <w:rPr>
                <w:rFonts w:cs="Arial"/>
                <w:szCs w:val="20"/>
              </w:rPr>
              <w:t>s</w:t>
            </w:r>
            <w:r>
              <w:rPr>
                <w:rFonts w:cs="Arial"/>
                <w:szCs w:val="20"/>
              </w:rPr>
              <w:t xml:space="preserve"> products</w:t>
            </w:r>
            <w:r w:rsidR="002A1A01">
              <w:rPr>
                <w:rFonts w:cs="Arial"/>
                <w:szCs w:val="20"/>
              </w:rPr>
              <w:t xml:space="preserve"> or services</w:t>
            </w:r>
            <w:r>
              <w:rPr>
                <w:rFonts w:cs="Arial"/>
                <w:szCs w:val="20"/>
              </w:rPr>
              <w:t>.</w:t>
            </w:r>
          </w:p>
        </w:tc>
        <w:tc>
          <w:tcPr>
            <w:tcW w:w="2160" w:type="dxa"/>
          </w:tcPr>
          <w:p w14:paraId="40083291" w14:textId="77777777" w:rsidR="009B6D57" w:rsidRPr="00EC340B" w:rsidRDefault="009B6D57" w:rsidP="0096255A">
            <w:pPr>
              <w:jc w:val="left"/>
              <w:rPr>
                <w:rFonts w:cs="Arial"/>
                <w:szCs w:val="20"/>
              </w:rPr>
            </w:pPr>
            <w:r w:rsidRPr="00EC340B">
              <w:rPr>
                <w:rFonts w:cs="Arial"/>
                <w:szCs w:val="20"/>
              </w:rPr>
              <w:t>Whilst there is no legal requirement to keep them for this long, it is recommended these are kept for 6 years since these records may be relevant to a County Court or High Court claim.</w:t>
            </w:r>
          </w:p>
        </w:tc>
        <w:tc>
          <w:tcPr>
            <w:tcW w:w="4090" w:type="dxa"/>
          </w:tcPr>
          <w:p w14:paraId="1588A844" w14:textId="6937FF22" w:rsidR="009B6D57" w:rsidRPr="00EC340B" w:rsidRDefault="009B6D57" w:rsidP="0079528E">
            <w:pPr>
              <w:rPr>
                <w:rFonts w:cs="Arial"/>
                <w:szCs w:val="20"/>
              </w:rPr>
            </w:pPr>
            <w:r>
              <w:rPr>
                <w:rFonts w:cs="Arial"/>
                <w:szCs w:val="20"/>
              </w:rPr>
              <w:t>6 years after the</w:t>
            </w:r>
            <w:r w:rsidR="0079528E">
              <w:rPr>
                <w:rFonts w:cs="Arial"/>
                <w:szCs w:val="20"/>
              </w:rPr>
              <w:t xml:space="preserve"> member / coach / participant / fan / customer </w:t>
            </w:r>
            <w:r>
              <w:rPr>
                <w:rFonts w:cs="Arial"/>
                <w:szCs w:val="20"/>
              </w:rPr>
              <w:t>has purchased a product</w:t>
            </w:r>
            <w:r w:rsidR="0079528E">
              <w:rPr>
                <w:rFonts w:cs="Arial"/>
                <w:szCs w:val="20"/>
              </w:rPr>
              <w:t xml:space="preserve"> from, or transacted with,</w:t>
            </w:r>
            <w:r>
              <w:rPr>
                <w:rFonts w:cs="Arial"/>
                <w:szCs w:val="20"/>
              </w:rPr>
              <w:t xml:space="preserve"> </w:t>
            </w:r>
            <w:r w:rsidR="007D0CD0">
              <w:rPr>
                <w:rFonts w:cs="Arial"/>
                <w:szCs w:val="20"/>
              </w:rPr>
              <w:t>Badminton England</w:t>
            </w:r>
          </w:p>
        </w:tc>
      </w:tr>
      <w:tr w:rsidR="0079528E" w:rsidRPr="00EC340B" w14:paraId="3BF485F1" w14:textId="77777777" w:rsidTr="0096255A">
        <w:tc>
          <w:tcPr>
            <w:tcW w:w="3258" w:type="dxa"/>
          </w:tcPr>
          <w:p w14:paraId="7BA4BCFC" w14:textId="2443A933" w:rsidR="009B6D57" w:rsidRDefault="009B6D57" w:rsidP="00B36C29">
            <w:pPr>
              <w:pStyle w:val="ListParagraph"/>
              <w:numPr>
                <w:ilvl w:val="0"/>
                <w:numId w:val="14"/>
              </w:numPr>
              <w:ind w:left="454" w:hanging="283"/>
              <w:jc w:val="left"/>
              <w:rPr>
                <w:rFonts w:cs="Arial"/>
                <w:szCs w:val="20"/>
              </w:rPr>
            </w:pPr>
            <w:r>
              <w:rPr>
                <w:rFonts w:cs="Arial"/>
                <w:szCs w:val="20"/>
              </w:rPr>
              <w:t xml:space="preserve">Marketing lists of corporate </w:t>
            </w:r>
            <w:r w:rsidR="0079528E">
              <w:rPr>
                <w:rFonts w:cs="Arial"/>
                <w:szCs w:val="20"/>
              </w:rPr>
              <w:t xml:space="preserve">supplier / contractor / partner / stakeholder </w:t>
            </w:r>
            <w:r>
              <w:rPr>
                <w:rFonts w:cs="Arial"/>
                <w:szCs w:val="20"/>
              </w:rPr>
              <w:t>contact details</w:t>
            </w:r>
          </w:p>
        </w:tc>
        <w:tc>
          <w:tcPr>
            <w:tcW w:w="2160" w:type="dxa"/>
          </w:tcPr>
          <w:p w14:paraId="79F307F4" w14:textId="77777777" w:rsidR="009B6D57" w:rsidRPr="00EC340B" w:rsidRDefault="009B6D57" w:rsidP="00B857D4">
            <w:pPr>
              <w:jc w:val="left"/>
              <w:rPr>
                <w:rFonts w:cs="Arial"/>
                <w:szCs w:val="20"/>
              </w:rPr>
            </w:pPr>
            <w:r>
              <w:rPr>
                <w:rFonts w:cs="Arial"/>
                <w:szCs w:val="20"/>
              </w:rPr>
              <w:t>N/A</w:t>
            </w:r>
          </w:p>
        </w:tc>
        <w:tc>
          <w:tcPr>
            <w:tcW w:w="4090" w:type="dxa"/>
          </w:tcPr>
          <w:p w14:paraId="7B8517F1" w14:textId="4E492DC4" w:rsidR="009B6D57" w:rsidRPr="008349A2" w:rsidRDefault="00B36C29" w:rsidP="008349A2">
            <w:pPr>
              <w:jc w:val="left"/>
              <w:rPr>
                <w:rFonts w:cs="Arial"/>
                <w:szCs w:val="20"/>
                <w:highlight w:val="yellow"/>
              </w:rPr>
            </w:pPr>
            <w:r>
              <w:rPr>
                <w:rFonts w:cs="Arial"/>
                <w:szCs w:val="20"/>
              </w:rPr>
              <w:t>5</w:t>
            </w:r>
            <w:r w:rsidR="009B6D57" w:rsidRPr="00B36C29">
              <w:rPr>
                <w:rFonts w:cs="Arial"/>
                <w:szCs w:val="20"/>
              </w:rPr>
              <w:t xml:space="preserve"> years after the personal data was first obtained or the corporate </w:t>
            </w:r>
            <w:r w:rsidR="0079528E" w:rsidRPr="00B36C29">
              <w:rPr>
                <w:rFonts w:cs="Arial"/>
                <w:szCs w:val="20"/>
              </w:rPr>
              <w:t xml:space="preserve">supplier / contractor / partner / stakeholder </w:t>
            </w:r>
            <w:r w:rsidR="009B6D57" w:rsidRPr="00B36C29">
              <w:rPr>
                <w:rFonts w:cs="Arial"/>
                <w:szCs w:val="20"/>
              </w:rPr>
              <w:t xml:space="preserve">last interacted with </w:t>
            </w:r>
            <w:r w:rsidR="007D0CD0" w:rsidRPr="00B36C29">
              <w:rPr>
                <w:rFonts w:cs="Arial"/>
                <w:szCs w:val="20"/>
              </w:rPr>
              <w:t>Badminton England</w:t>
            </w:r>
          </w:p>
        </w:tc>
      </w:tr>
      <w:tr w:rsidR="0079528E" w:rsidRPr="00EC340B" w14:paraId="1200EC6A" w14:textId="77777777" w:rsidTr="0096255A">
        <w:tc>
          <w:tcPr>
            <w:tcW w:w="3258" w:type="dxa"/>
          </w:tcPr>
          <w:p w14:paraId="2EC33F1A" w14:textId="2CE8724D" w:rsidR="009B6D57" w:rsidRDefault="009B6D57" w:rsidP="00B36C29">
            <w:pPr>
              <w:pStyle w:val="ListParagraph"/>
              <w:numPr>
                <w:ilvl w:val="0"/>
                <w:numId w:val="14"/>
              </w:numPr>
              <w:ind w:left="454" w:hanging="283"/>
              <w:jc w:val="left"/>
              <w:rPr>
                <w:rFonts w:cs="Arial"/>
                <w:szCs w:val="20"/>
              </w:rPr>
            </w:pPr>
            <w:r>
              <w:rPr>
                <w:rFonts w:cs="Arial"/>
                <w:szCs w:val="20"/>
              </w:rPr>
              <w:t xml:space="preserve">Marketing lists of individual </w:t>
            </w:r>
            <w:r w:rsidR="0079528E">
              <w:rPr>
                <w:rFonts w:cs="Arial"/>
                <w:szCs w:val="20"/>
              </w:rPr>
              <w:t>member / coach / participant / fan / customer</w:t>
            </w:r>
            <w:r w:rsidR="0079528E" w:rsidDel="0079528E">
              <w:rPr>
                <w:rFonts w:cs="Arial"/>
                <w:szCs w:val="20"/>
              </w:rPr>
              <w:t xml:space="preserve"> </w:t>
            </w:r>
            <w:r>
              <w:rPr>
                <w:rFonts w:cs="Arial"/>
                <w:szCs w:val="20"/>
              </w:rPr>
              <w:t>contact details</w:t>
            </w:r>
          </w:p>
        </w:tc>
        <w:tc>
          <w:tcPr>
            <w:tcW w:w="2160" w:type="dxa"/>
          </w:tcPr>
          <w:p w14:paraId="1358860A" w14:textId="77777777" w:rsidR="009B6D57" w:rsidRPr="00EC340B" w:rsidRDefault="009B6D57" w:rsidP="0096255A">
            <w:pPr>
              <w:jc w:val="left"/>
              <w:rPr>
                <w:rFonts w:cs="Arial"/>
                <w:szCs w:val="20"/>
              </w:rPr>
            </w:pPr>
            <w:r>
              <w:rPr>
                <w:rFonts w:cs="Arial"/>
                <w:szCs w:val="20"/>
              </w:rPr>
              <w:t>N/A</w:t>
            </w:r>
          </w:p>
        </w:tc>
        <w:tc>
          <w:tcPr>
            <w:tcW w:w="4090" w:type="dxa"/>
          </w:tcPr>
          <w:p w14:paraId="461AECF2" w14:textId="7EFD5392" w:rsidR="009B6D57" w:rsidRPr="008349A2" w:rsidRDefault="00B36C29" w:rsidP="00B36C29">
            <w:pPr>
              <w:jc w:val="left"/>
              <w:rPr>
                <w:rFonts w:cs="Arial"/>
                <w:szCs w:val="20"/>
                <w:highlight w:val="yellow"/>
              </w:rPr>
            </w:pPr>
            <w:r w:rsidRPr="00B36C29">
              <w:rPr>
                <w:rFonts w:cs="Arial"/>
                <w:szCs w:val="20"/>
              </w:rPr>
              <w:t>3</w:t>
            </w:r>
            <w:r w:rsidR="009B6D57" w:rsidRPr="00B36C29">
              <w:rPr>
                <w:rFonts w:cs="Arial"/>
                <w:szCs w:val="20"/>
              </w:rPr>
              <w:t xml:space="preserve"> year</w:t>
            </w:r>
            <w:r w:rsidRPr="00B36C29">
              <w:rPr>
                <w:rFonts w:cs="Arial"/>
                <w:szCs w:val="20"/>
              </w:rPr>
              <w:t>s</w:t>
            </w:r>
            <w:r w:rsidR="009B6D57" w:rsidRPr="00B36C29">
              <w:rPr>
                <w:rFonts w:cs="Arial"/>
                <w:szCs w:val="20"/>
              </w:rPr>
              <w:t xml:space="preserve"> after the individual </w:t>
            </w:r>
            <w:r w:rsidR="0079528E" w:rsidRPr="00B36C29">
              <w:rPr>
                <w:rFonts w:cs="Arial"/>
                <w:szCs w:val="20"/>
              </w:rPr>
              <w:t>member / coach / participant / fan / customer</w:t>
            </w:r>
            <w:r w:rsidR="0079528E" w:rsidRPr="00B36C29" w:rsidDel="0079528E">
              <w:rPr>
                <w:rFonts w:cs="Arial"/>
                <w:szCs w:val="20"/>
              </w:rPr>
              <w:t xml:space="preserve"> </w:t>
            </w:r>
            <w:r w:rsidR="009B6D57" w:rsidRPr="00B36C29">
              <w:rPr>
                <w:rFonts w:cs="Arial"/>
                <w:szCs w:val="20"/>
              </w:rPr>
              <w:t xml:space="preserve">last interacted with </w:t>
            </w:r>
            <w:r w:rsidR="007D0CD0" w:rsidRPr="00B36C29">
              <w:rPr>
                <w:rFonts w:cs="Arial"/>
                <w:szCs w:val="20"/>
              </w:rPr>
              <w:t>Badminton England</w:t>
            </w:r>
          </w:p>
        </w:tc>
      </w:tr>
    </w:tbl>
    <w:p w14:paraId="487A5295" w14:textId="77777777" w:rsidR="00532430" w:rsidRPr="009D7E66" w:rsidRDefault="00532430" w:rsidP="001467A9">
      <w:pPr>
        <w:rPr>
          <w:rFonts w:cs="Arial"/>
          <w:szCs w:val="20"/>
        </w:rPr>
      </w:pPr>
    </w:p>
    <w:sectPr w:rsidR="00532430" w:rsidRPr="009D7E66" w:rsidSect="004C1B2C">
      <w:footerReference w:type="default" r:id="rId8"/>
      <w:pgSz w:w="11900" w:h="16838" w:code="9"/>
      <w:pgMar w:top="993" w:right="1304" w:bottom="1134" w:left="1304" w:header="567"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BEA2" w14:textId="77777777" w:rsidR="009A3D7D" w:rsidRDefault="009A3D7D">
      <w:r>
        <w:separator/>
      </w:r>
    </w:p>
  </w:endnote>
  <w:endnote w:type="continuationSeparator" w:id="0">
    <w:p w14:paraId="399C844B" w14:textId="77777777" w:rsidR="009A3D7D" w:rsidRDefault="009A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umberland Ellis Logo">
    <w:altName w:val="Symbol"/>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17DE" w14:textId="77777777" w:rsidR="001D0ABC" w:rsidRPr="002D2246" w:rsidRDefault="00F31D4E" w:rsidP="00F31D4E">
    <w:pPr>
      <w:pStyle w:val="Footer"/>
      <w:jc w:val="center"/>
      <w:rPr>
        <w:sz w:val="20"/>
      </w:rPr>
    </w:pPr>
    <w:r w:rsidRPr="002D2246">
      <w:rPr>
        <w:sz w:val="20"/>
      </w:rPr>
      <w:t xml:space="preserve">- </w:t>
    </w:r>
    <w:r w:rsidRPr="002D2246">
      <w:rPr>
        <w:sz w:val="20"/>
      </w:rPr>
      <w:fldChar w:fldCharType="begin"/>
    </w:r>
    <w:r w:rsidRPr="002D2246">
      <w:rPr>
        <w:sz w:val="20"/>
      </w:rPr>
      <w:instrText xml:space="preserve"> PAGE  \* MERGEFORMAT </w:instrText>
    </w:r>
    <w:r w:rsidRPr="002D2246">
      <w:rPr>
        <w:sz w:val="20"/>
      </w:rPr>
      <w:fldChar w:fldCharType="separate"/>
    </w:r>
    <w:r w:rsidR="00506265">
      <w:rPr>
        <w:noProof/>
        <w:sz w:val="20"/>
      </w:rPr>
      <w:t>1</w:t>
    </w:r>
    <w:r w:rsidRPr="002D2246">
      <w:rPr>
        <w:sz w:val="20"/>
      </w:rPr>
      <w:fldChar w:fldCharType="end"/>
    </w:r>
    <w:r w:rsidRPr="002D2246">
      <w:rPr>
        <w:sz w:val="20"/>
      </w:rPr>
      <w:t xml:space="preserve"> -</w:t>
    </w:r>
  </w:p>
  <w:p w14:paraId="6DAD9968" w14:textId="77777777" w:rsidR="00F31D4E" w:rsidRPr="002D2246" w:rsidRDefault="00F31D4E" w:rsidP="00F31D4E">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55425" w14:textId="77777777" w:rsidR="009A3D7D" w:rsidRDefault="009A3D7D">
      <w:r>
        <w:separator/>
      </w:r>
    </w:p>
  </w:footnote>
  <w:footnote w:type="continuationSeparator" w:id="0">
    <w:p w14:paraId="3C83324A" w14:textId="77777777" w:rsidR="009A3D7D" w:rsidRDefault="009A3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CE616C8"/>
    <w:multiLevelType w:val="multilevel"/>
    <w:tmpl w:val="020845BC"/>
    <w:lvl w:ilvl="0">
      <w:start w:val="1"/>
      <w:numFmt w:val="decimal"/>
      <w:pStyle w:val="A1"/>
      <w:lvlText w:val="%1."/>
      <w:lvlJc w:val="left"/>
      <w:pPr>
        <w:ind w:left="864" w:hanging="864"/>
      </w:pPr>
      <w:rPr>
        <w:rFonts w:hint="default"/>
      </w:rPr>
    </w:lvl>
    <w:lvl w:ilvl="1">
      <w:start w:val="1"/>
      <w:numFmt w:val="decimal"/>
      <w:pStyle w:val="A2"/>
      <w:lvlText w:val="%1.%2"/>
      <w:lvlJc w:val="left"/>
      <w:pPr>
        <w:ind w:left="864" w:hanging="864"/>
      </w:pPr>
      <w:rPr>
        <w:rFonts w:hint="default"/>
        <w:b w:val="0"/>
      </w:rPr>
    </w:lvl>
    <w:lvl w:ilvl="2">
      <w:start w:val="1"/>
      <w:numFmt w:val="decimal"/>
      <w:pStyle w:val="A3"/>
      <w:lvlText w:val="%1.%2.%3"/>
      <w:lvlJc w:val="left"/>
      <w:pPr>
        <w:ind w:left="1728" w:hanging="864"/>
      </w:pPr>
      <w:rPr>
        <w:rFonts w:hint="default"/>
        <w:b w:val="0"/>
      </w:rPr>
    </w:lvl>
    <w:lvl w:ilvl="3">
      <w:start w:val="1"/>
      <w:numFmt w:val="lowerLetter"/>
      <w:pStyle w:val="A4"/>
      <w:lvlText w:val="(%4)"/>
      <w:lvlJc w:val="left"/>
      <w:pPr>
        <w:ind w:left="2592" w:hanging="864"/>
      </w:pPr>
      <w:rPr>
        <w:rFonts w:hint="default"/>
        <w:b w:val="0"/>
      </w:rPr>
    </w:lvl>
    <w:lvl w:ilvl="4">
      <w:start w:val="1"/>
      <w:numFmt w:val="lowerRoman"/>
      <w:pStyle w:val="A5"/>
      <w:lvlText w:val="(%5)"/>
      <w:lvlJc w:val="left"/>
      <w:pPr>
        <w:tabs>
          <w:tab w:val="num" w:pos="2592"/>
        </w:tabs>
        <w:ind w:left="3456" w:hanging="864"/>
      </w:pPr>
      <w:rPr>
        <w:rFonts w:hint="default"/>
        <w:b w:val="0"/>
      </w:rPr>
    </w:lvl>
    <w:lvl w:ilvl="5">
      <w:start w:val="1"/>
      <w:numFmt w:val="upperLetter"/>
      <w:pStyle w:val="A6"/>
      <w:lvlText w:val="(%6)"/>
      <w:lvlJc w:val="left"/>
      <w:pPr>
        <w:ind w:left="4320" w:hanging="864"/>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5F02DF"/>
    <w:multiLevelType w:val="multilevel"/>
    <w:tmpl w:val="DF9861C0"/>
    <w:lvl w:ilvl="0">
      <w:start w:val="1"/>
      <w:numFmt w:val="decimal"/>
      <w:pStyle w:val="L1"/>
      <w:isLgl/>
      <w:lvlText w:val="%1."/>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7D20BF4"/>
    <w:multiLevelType w:val="hybridMultilevel"/>
    <w:tmpl w:val="01A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52BC3"/>
    <w:multiLevelType w:val="hybridMultilevel"/>
    <w:tmpl w:val="471E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5201D"/>
    <w:multiLevelType w:val="multilevel"/>
    <w:tmpl w:val="5EB81080"/>
    <w:lvl w:ilvl="0">
      <w:start w:val="1"/>
      <w:numFmt w:val="none"/>
      <w:lvlRestart w:val="0"/>
      <w:pStyle w:val="HeadingNoToc"/>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6" w15:restartNumberingAfterBreak="0">
    <w:nsid w:val="2EC60DD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D23307"/>
    <w:multiLevelType w:val="multilevel"/>
    <w:tmpl w:val="5EB81080"/>
    <w:lvl w:ilvl="0">
      <w:start w:val="1"/>
      <w:numFmt w:val="none"/>
      <w:lvlRestart w:val="0"/>
      <w:pStyle w:val="Heading"/>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8" w15:restartNumberingAfterBreak="0">
    <w:nsid w:val="46254EF7"/>
    <w:multiLevelType w:val="hybridMultilevel"/>
    <w:tmpl w:val="1C100F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DA265D4"/>
    <w:multiLevelType w:val="hybridMultilevel"/>
    <w:tmpl w:val="96E4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27336"/>
    <w:multiLevelType w:val="hybridMultilevel"/>
    <w:tmpl w:val="6854FF1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FF4C56"/>
    <w:multiLevelType w:val="multilevel"/>
    <w:tmpl w:val="1292CCB8"/>
    <w:lvl w:ilvl="0">
      <w:start w:val="1"/>
      <w:numFmt w:val="decimal"/>
      <w:pStyle w:val="SCHA1"/>
      <w:lvlText w:val="%1."/>
      <w:lvlJc w:val="left"/>
      <w:pPr>
        <w:ind w:left="864" w:hanging="864"/>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71F47930"/>
    <w:multiLevelType w:val="hybridMultilevel"/>
    <w:tmpl w:val="0918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7"/>
  </w:num>
  <w:num w:numId="5">
    <w:abstractNumId w:val="12"/>
  </w:num>
  <w:num w:numId="6">
    <w:abstractNumId w:val="1"/>
  </w:num>
  <w:num w:numId="7">
    <w:abstractNumId w:val="6"/>
  </w:num>
  <w:num w:numId="8">
    <w:abstractNumId w:val="0"/>
  </w:num>
  <w:num w:numId="9">
    <w:abstractNumId w:val="13"/>
  </w:num>
  <w:num w:numId="10">
    <w:abstractNumId w:val="4"/>
  </w:num>
  <w:num w:numId="11">
    <w:abstractNumId w:val="3"/>
  </w:num>
  <w:num w:numId="12">
    <w:abstractNumId w:val="10"/>
  </w:num>
  <w:num w:numId="13">
    <w:abstractNumId w:val="11"/>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0"/>
  <w:drawingGridHorizontalSpacing w:val="12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4B"/>
    <w:rsid w:val="000025B0"/>
    <w:rsid w:val="00007EBC"/>
    <w:rsid w:val="00031737"/>
    <w:rsid w:val="000511EB"/>
    <w:rsid w:val="00055567"/>
    <w:rsid w:val="00056F2D"/>
    <w:rsid w:val="000622BE"/>
    <w:rsid w:val="00070356"/>
    <w:rsid w:val="00094DEC"/>
    <w:rsid w:val="00096D60"/>
    <w:rsid w:val="0009785C"/>
    <w:rsid w:val="000A3891"/>
    <w:rsid w:val="000A55F5"/>
    <w:rsid w:val="000B66E6"/>
    <w:rsid w:val="000E0AD2"/>
    <w:rsid w:val="000E1732"/>
    <w:rsid w:val="000E4278"/>
    <w:rsid w:val="000E5B74"/>
    <w:rsid w:val="000F564D"/>
    <w:rsid w:val="001158F1"/>
    <w:rsid w:val="001238D2"/>
    <w:rsid w:val="00125DC8"/>
    <w:rsid w:val="0013696C"/>
    <w:rsid w:val="001467A9"/>
    <w:rsid w:val="0015178B"/>
    <w:rsid w:val="0015185A"/>
    <w:rsid w:val="00152B7D"/>
    <w:rsid w:val="001607EE"/>
    <w:rsid w:val="00163EBD"/>
    <w:rsid w:val="00164B34"/>
    <w:rsid w:val="0016594D"/>
    <w:rsid w:val="00173786"/>
    <w:rsid w:val="0018207B"/>
    <w:rsid w:val="001821AC"/>
    <w:rsid w:val="0018374B"/>
    <w:rsid w:val="001B0F41"/>
    <w:rsid w:val="001B247A"/>
    <w:rsid w:val="001C18F6"/>
    <w:rsid w:val="001C794D"/>
    <w:rsid w:val="001D058F"/>
    <w:rsid w:val="001D0ABC"/>
    <w:rsid w:val="00201581"/>
    <w:rsid w:val="002335D5"/>
    <w:rsid w:val="002419B1"/>
    <w:rsid w:val="002419FE"/>
    <w:rsid w:val="00255F7A"/>
    <w:rsid w:val="00256488"/>
    <w:rsid w:val="00263C24"/>
    <w:rsid w:val="002675DA"/>
    <w:rsid w:val="0027388E"/>
    <w:rsid w:val="00297A43"/>
    <w:rsid w:val="002A1A01"/>
    <w:rsid w:val="002B3F64"/>
    <w:rsid w:val="002B4829"/>
    <w:rsid w:val="002C3B90"/>
    <w:rsid w:val="002D17DD"/>
    <w:rsid w:val="002D2246"/>
    <w:rsid w:val="002D6279"/>
    <w:rsid w:val="002D644A"/>
    <w:rsid w:val="002E1521"/>
    <w:rsid w:val="002F2021"/>
    <w:rsid w:val="002F5239"/>
    <w:rsid w:val="00305B5A"/>
    <w:rsid w:val="00306AD5"/>
    <w:rsid w:val="0032447D"/>
    <w:rsid w:val="00326F89"/>
    <w:rsid w:val="00330D09"/>
    <w:rsid w:val="00341A15"/>
    <w:rsid w:val="00347F31"/>
    <w:rsid w:val="00360D63"/>
    <w:rsid w:val="003779BB"/>
    <w:rsid w:val="0038646F"/>
    <w:rsid w:val="00390264"/>
    <w:rsid w:val="00396AD3"/>
    <w:rsid w:val="003A44A2"/>
    <w:rsid w:val="003B47A4"/>
    <w:rsid w:val="003F6118"/>
    <w:rsid w:val="00413919"/>
    <w:rsid w:val="004165CA"/>
    <w:rsid w:val="00420F8F"/>
    <w:rsid w:val="00422E47"/>
    <w:rsid w:val="00427502"/>
    <w:rsid w:val="0043764A"/>
    <w:rsid w:val="0045507F"/>
    <w:rsid w:val="00463616"/>
    <w:rsid w:val="00471A76"/>
    <w:rsid w:val="00472A0C"/>
    <w:rsid w:val="00482C82"/>
    <w:rsid w:val="00494D38"/>
    <w:rsid w:val="004B5BA7"/>
    <w:rsid w:val="004C1B2C"/>
    <w:rsid w:val="004C2220"/>
    <w:rsid w:val="004D18EF"/>
    <w:rsid w:val="004D2C36"/>
    <w:rsid w:val="004D2F89"/>
    <w:rsid w:val="004D40BE"/>
    <w:rsid w:val="004D5824"/>
    <w:rsid w:val="004E31AC"/>
    <w:rsid w:val="004E59B4"/>
    <w:rsid w:val="004F0D18"/>
    <w:rsid w:val="004F6D02"/>
    <w:rsid w:val="005051A3"/>
    <w:rsid w:val="00506265"/>
    <w:rsid w:val="00510024"/>
    <w:rsid w:val="00514AB5"/>
    <w:rsid w:val="005168C7"/>
    <w:rsid w:val="00520B1F"/>
    <w:rsid w:val="00526A96"/>
    <w:rsid w:val="00532430"/>
    <w:rsid w:val="00532F97"/>
    <w:rsid w:val="00535186"/>
    <w:rsid w:val="00547EBD"/>
    <w:rsid w:val="00555B62"/>
    <w:rsid w:val="00560591"/>
    <w:rsid w:val="00576E22"/>
    <w:rsid w:val="005774A8"/>
    <w:rsid w:val="005828D4"/>
    <w:rsid w:val="00584940"/>
    <w:rsid w:val="00585A66"/>
    <w:rsid w:val="005A0FA9"/>
    <w:rsid w:val="005B1AAD"/>
    <w:rsid w:val="005B2C28"/>
    <w:rsid w:val="005C20C8"/>
    <w:rsid w:val="005F0EA1"/>
    <w:rsid w:val="005F79F2"/>
    <w:rsid w:val="00605A83"/>
    <w:rsid w:val="00617A4C"/>
    <w:rsid w:val="00642571"/>
    <w:rsid w:val="006560B9"/>
    <w:rsid w:val="00660E2D"/>
    <w:rsid w:val="00681EF5"/>
    <w:rsid w:val="00683EDC"/>
    <w:rsid w:val="00686AA0"/>
    <w:rsid w:val="0068700E"/>
    <w:rsid w:val="006A4138"/>
    <w:rsid w:val="006A482B"/>
    <w:rsid w:val="006B1A4A"/>
    <w:rsid w:val="006B3FF6"/>
    <w:rsid w:val="006B5C19"/>
    <w:rsid w:val="006C69F8"/>
    <w:rsid w:val="006D4EBB"/>
    <w:rsid w:val="006D56F3"/>
    <w:rsid w:val="006E0634"/>
    <w:rsid w:val="006E162A"/>
    <w:rsid w:val="006E3840"/>
    <w:rsid w:val="006E56F5"/>
    <w:rsid w:val="006F0DA0"/>
    <w:rsid w:val="006F482C"/>
    <w:rsid w:val="00713BBE"/>
    <w:rsid w:val="00716EBB"/>
    <w:rsid w:val="00720D34"/>
    <w:rsid w:val="00721C1E"/>
    <w:rsid w:val="00727BB0"/>
    <w:rsid w:val="00732392"/>
    <w:rsid w:val="00734120"/>
    <w:rsid w:val="007348C6"/>
    <w:rsid w:val="007450CE"/>
    <w:rsid w:val="0074696B"/>
    <w:rsid w:val="00746A31"/>
    <w:rsid w:val="00751BD4"/>
    <w:rsid w:val="00752003"/>
    <w:rsid w:val="00755C77"/>
    <w:rsid w:val="00793F9F"/>
    <w:rsid w:val="0079528E"/>
    <w:rsid w:val="007A2070"/>
    <w:rsid w:val="007A4D6F"/>
    <w:rsid w:val="007A6438"/>
    <w:rsid w:val="007A70C5"/>
    <w:rsid w:val="007B11A7"/>
    <w:rsid w:val="007C35B3"/>
    <w:rsid w:val="007D0CD0"/>
    <w:rsid w:val="007D10F6"/>
    <w:rsid w:val="007D6D42"/>
    <w:rsid w:val="007E2978"/>
    <w:rsid w:val="007F4F52"/>
    <w:rsid w:val="00813A74"/>
    <w:rsid w:val="0082196B"/>
    <w:rsid w:val="0082224E"/>
    <w:rsid w:val="00826B22"/>
    <w:rsid w:val="008349A2"/>
    <w:rsid w:val="0083601D"/>
    <w:rsid w:val="008370A4"/>
    <w:rsid w:val="00841CC1"/>
    <w:rsid w:val="00851949"/>
    <w:rsid w:val="00880048"/>
    <w:rsid w:val="0089424F"/>
    <w:rsid w:val="008944BC"/>
    <w:rsid w:val="008A6025"/>
    <w:rsid w:val="008B0DB4"/>
    <w:rsid w:val="008B4B82"/>
    <w:rsid w:val="008B6A3D"/>
    <w:rsid w:val="008B7828"/>
    <w:rsid w:val="008D6224"/>
    <w:rsid w:val="008E228F"/>
    <w:rsid w:val="008E2DAE"/>
    <w:rsid w:val="008F2540"/>
    <w:rsid w:val="00904A84"/>
    <w:rsid w:val="00905E2F"/>
    <w:rsid w:val="009064D2"/>
    <w:rsid w:val="00913ACE"/>
    <w:rsid w:val="009251FF"/>
    <w:rsid w:val="00944CE7"/>
    <w:rsid w:val="0095095F"/>
    <w:rsid w:val="0095171F"/>
    <w:rsid w:val="00961C89"/>
    <w:rsid w:val="00962F90"/>
    <w:rsid w:val="00966A75"/>
    <w:rsid w:val="00971338"/>
    <w:rsid w:val="00977D11"/>
    <w:rsid w:val="009807AF"/>
    <w:rsid w:val="00982EFF"/>
    <w:rsid w:val="00983AE8"/>
    <w:rsid w:val="00984CB8"/>
    <w:rsid w:val="0098532A"/>
    <w:rsid w:val="00985CDF"/>
    <w:rsid w:val="00991165"/>
    <w:rsid w:val="00993056"/>
    <w:rsid w:val="009A3D7D"/>
    <w:rsid w:val="009B4962"/>
    <w:rsid w:val="009B6D57"/>
    <w:rsid w:val="009C37CE"/>
    <w:rsid w:val="009D2363"/>
    <w:rsid w:val="009D3595"/>
    <w:rsid w:val="009D7E66"/>
    <w:rsid w:val="009D7F61"/>
    <w:rsid w:val="009F05EA"/>
    <w:rsid w:val="009F2283"/>
    <w:rsid w:val="009F4680"/>
    <w:rsid w:val="009F7E92"/>
    <w:rsid w:val="00A102F7"/>
    <w:rsid w:val="00A1196F"/>
    <w:rsid w:val="00A130AC"/>
    <w:rsid w:val="00A17CFD"/>
    <w:rsid w:val="00A21AB7"/>
    <w:rsid w:val="00A32F75"/>
    <w:rsid w:val="00A408F4"/>
    <w:rsid w:val="00A4380C"/>
    <w:rsid w:val="00A455C3"/>
    <w:rsid w:val="00A478CB"/>
    <w:rsid w:val="00A66E2A"/>
    <w:rsid w:val="00A74114"/>
    <w:rsid w:val="00A90970"/>
    <w:rsid w:val="00A90FA8"/>
    <w:rsid w:val="00AD1816"/>
    <w:rsid w:val="00AD25B3"/>
    <w:rsid w:val="00AD27AB"/>
    <w:rsid w:val="00AD66F3"/>
    <w:rsid w:val="00AE235F"/>
    <w:rsid w:val="00AE3A4D"/>
    <w:rsid w:val="00B061BF"/>
    <w:rsid w:val="00B23E94"/>
    <w:rsid w:val="00B2522C"/>
    <w:rsid w:val="00B319B6"/>
    <w:rsid w:val="00B32F13"/>
    <w:rsid w:val="00B36C29"/>
    <w:rsid w:val="00B41D9B"/>
    <w:rsid w:val="00B43CE7"/>
    <w:rsid w:val="00B45910"/>
    <w:rsid w:val="00B60FAE"/>
    <w:rsid w:val="00B62B63"/>
    <w:rsid w:val="00B644E1"/>
    <w:rsid w:val="00B71898"/>
    <w:rsid w:val="00B74933"/>
    <w:rsid w:val="00B75B78"/>
    <w:rsid w:val="00B857D4"/>
    <w:rsid w:val="00B85FBF"/>
    <w:rsid w:val="00B95227"/>
    <w:rsid w:val="00BB69F7"/>
    <w:rsid w:val="00BC2D47"/>
    <w:rsid w:val="00BF6B01"/>
    <w:rsid w:val="00C06F4B"/>
    <w:rsid w:val="00C255B4"/>
    <w:rsid w:val="00C37F6D"/>
    <w:rsid w:val="00C45272"/>
    <w:rsid w:val="00C502E7"/>
    <w:rsid w:val="00C528C3"/>
    <w:rsid w:val="00C56441"/>
    <w:rsid w:val="00C62B7E"/>
    <w:rsid w:val="00C72822"/>
    <w:rsid w:val="00C731C8"/>
    <w:rsid w:val="00C753FA"/>
    <w:rsid w:val="00C82D06"/>
    <w:rsid w:val="00CB09BA"/>
    <w:rsid w:val="00CB7AA5"/>
    <w:rsid w:val="00CC1D8C"/>
    <w:rsid w:val="00CC704C"/>
    <w:rsid w:val="00CE0B05"/>
    <w:rsid w:val="00CE103E"/>
    <w:rsid w:val="00CE6CC8"/>
    <w:rsid w:val="00CF1AE2"/>
    <w:rsid w:val="00D06189"/>
    <w:rsid w:val="00D20F2A"/>
    <w:rsid w:val="00D22689"/>
    <w:rsid w:val="00D2387D"/>
    <w:rsid w:val="00D34FE8"/>
    <w:rsid w:val="00D37197"/>
    <w:rsid w:val="00D44A5E"/>
    <w:rsid w:val="00D4731E"/>
    <w:rsid w:val="00D50C2A"/>
    <w:rsid w:val="00D533C4"/>
    <w:rsid w:val="00D54735"/>
    <w:rsid w:val="00D62F32"/>
    <w:rsid w:val="00D65EA7"/>
    <w:rsid w:val="00D70418"/>
    <w:rsid w:val="00D87ECF"/>
    <w:rsid w:val="00D93A7C"/>
    <w:rsid w:val="00DB7291"/>
    <w:rsid w:val="00DC2437"/>
    <w:rsid w:val="00DD04B4"/>
    <w:rsid w:val="00DE66E5"/>
    <w:rsid w:val="00DE7D2A"/>
    <w:rsid w:val="00E0017C"/>
    <w:rsid w:val="00E2383F"/>
    <w:rsid w:val="00E31733"/>
    <w:rsid w:val="00E33B4D"/>
    <w:rsid w:val="00E46E54"/>
    <w:rsid w:val="00E576FA"/>
    <w:rsid w:val="00E71E3F"/>
    <w:rsid w:val="00E84177"/>
    <w:rsid w:val="00E94195"/>
    <w:rsid w:val="00EB42F4"/>
    <w:rsid w:val="00EB6204"/>
    <w:rsid w:val="00EC7562"/>
    <w:rsid w:val="00EC799E"/>
    <w:rsid w:val="00ED258A"/>
    <w:rsid w:val="00ED4D9C"/>
    <w:rsid w:val="00ED509C"/>
    <w:rsid w:val="00ED539C"/>
    <w:rsid w:val="00ED6A6D"/>
    <w:rsid w:val="00EE1EF1"/>
    <w:rsid w:val="00EE4477"/>
    <w:rsid w:val="00F1066C"/>
    <w:rsid w:val="00F13B26"/>
    <w:rsid w:val="00F14EF7"/>
    <w:rsid w:val="00F224A3"/>
    <w:rsid w:val="00F31D4E"/>
    <w:rsid w:val="00F453CD"/>
    <w:rsid w:val="00F4655E"/>
    <w:rsid w:val="00F506B7"/>
    <w:rsid w:val="00F50922"/>
    <w:rsid w:val="00F6101B"/>
    <w:rsid w:val="00F6726F"/>
    <w:rsid w:val="00F70225"/>
    <w:rsid w:val="00F72A2B"/>
    <w:rsid w:val="00F87672"/>
    <w:rsid w:val="00F9469A"/>
    <w:rsid w:val="00F96852"/>
    <w:rsid w:val="00FA0452"/>
    <w:rsid w:val="00FA4863"/>
    <w:rsid w:val="00FB3EDF"/>
    <w:rsid w:val="00FC2312"/>
    <w:rsid w:val="00FC4368"/>
    <w:rsid w:val="00FD001D"/>
    <w:rsid w:val="00FD14A8"/>
    <w:rsid w:val="00FF0C63"/>
    <w:rsid w:val="00FF189E"/>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2BF1"/>
  <w15:docId w15:val="{ECA54900-F2CC-44AD-9DEF-AA13D18C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66"/>
    <w:pPr>
      <w:tabs>
        <w:tab w:val="left" w:pos="864"/>
        <w:tab w:val="left" w:pos="1728"/>
        <w:tab w:val="left" w:pos="2592"/>
        <w:tab w:val="left" w:pos="3456"/>
        <w:tab w:val="left" w:pos="4320"/>
      </w:tabs>
      <w:spacing w:after="160" w:line="288" w:lineRule="auto"/>
      <w:jc w:val="both"/>
    </w:pPr>
    <w:rPr>
      <w:rFonts w:ascii="Arial" w:hAnsi="Arial"/>
      <w:szCs w:val="23"/>
      <w:lang w:eastAsia="en-US"/>
    </w:rPr>
  </w:style>
  <w:style w:type="paragraph" w:styleId="Heading1">
    <w:name w:val="heading 1"/>
    <w:basedOn w:val="Normal"/>
    <w:next w:val="Normal"/>
    <w:uiPriority w:val="3"/>
    <w:qFormat/>
    <w:rsid w:val="003F6118"/>
    <w:pPr>
      <w:keepNext/>
      <w:jc w:val="center"/>
      <w:outlineLvl w:val="0"/>
    </w:pPr>
    <w:rPr>
      <w:rFonts w:ascii="Arial Bold" w:hAnsi="Arial Bold" w:cs="Arial"/>
      <w:b/>
      <w:bCs/>
      <w:caps/>
    </w:rPr>
  </w:style>
  <w:style w:type="paragraph" w:styleId="Heading2">
    <w:name w:val="heading 2"/>
    <w:basedOn w:val="Heading1"/>
    <w:next w:val="Normal"/>
    <w:uiPriority w:val="3"/>
    <w:qFormat/>
    <w:rsid w:val="003F6118"/>
    <w:pPr>
      <w:outlineLvl w:val="1"/>
    </w:pPr>
    <w:rPr>
      <w:b w:val="0"/>
      <w:bCs w:val="0"/>
      <w:iCs/>
    </w:rPr>
  </w:style>
  <w:style w:type="paragraph" w:styleId="Heading3">
    <w:name w:val="heading 3"/>
    <w:basedOn w:val="Normal"/>
    <w:next w:val="Normal"/>
    <w:qFormat/>
    <w:rsid w:val="00560591"/>
    <w:pPr>
      <w:keepNext/>
      <w:numPr>
        <w:ilvl w:val="3"/>
        <w:numId w:val="4"/>
      </w:numPr>
      <w:spacing w:before="240" w:after="60"/>
      <w:outlineLvl w:val="2"/>
    </w:pPr>
    <w:rPr>
      <w:rFonts w:cs="Arial"/>
      <w:b/>
      <w:bCs/>
      <w:sz w:val="26"/>
      <w:szCs w:val="26"/>
    </w:rPr>
  </w:style>
  <w:style w:type="paragraph" w:styleId="Heading4">
    <w:name w:val="heading 4"/>
    <w:basedOn w:val="Normal"/>
    <w:next w:val="Normal"/>
    <w:qFormat/>
    <w:rsid w:val="00560591"/>
    <w:pPr>
      <w:keepNext/>
      <w:numPr>
        <w:ilvl w:val="4"/>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560591"/>
    <w:pPr>
      <w:numPr>
        <w:ilvl w:val="5"/>
        <w:numId w:val="4"/>
      </w:numPr>
      <w:spacing w:before="240" w:after="60"/>
      <w:outlineLvl w:val="4"/>
    </w:pPr>
    <w:rPr>
      <w:b/>
      <w:bCs/>
      <w:i/>
      <w:iCs/>
      <w:sz w:val="26"/>
      <w:szCs w:val="26"/>
    </w:rPr>
  </w:style>
  <w:style w:type="paragraph" w:styleId="Heading6">
    <w:name w:val="heading 6"/>
    <w:basedOn w:val="Normal"/>
    <w:next w:val="Normal"/>
    <w:qFormat/>
    <w:rsid w:val="00560591"/>
    <w:pPr>
      <w:numPr>
        <w:ilvl w:val="6"/>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60591"/>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56059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560591"/>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962"/>
    <w:pPr>
      <w:tabs>
        <w:tab w:val="center" w:pos="4153"/>
        <w:tab w:val="right" w:pos="8306"/>
      </w:tabs>
    </w:pPr>
  </w:style>
  <w:style w:type="paragraph" w:styleId="Footer">
    <w:name w:val="footer"/>
    <w:rsid w:val="00F506B7"/>
    <w:pPr>
      <w:tabs>
        <w:tab w:val="center" w:pos="4153"/>
        <w:tab w:val="right" w:pos="8306"/>
      </w:tabs>
    </w:pPr>
    <w:rPr>
      <w:rFonts w:ascii="Arial" w:hAnsi="Arial"/>
      <w:sz w:val="16"/>
      <w:szCs w:val="22"/>
      <w:lang w:eastAsia="en-US"/>
    </w:rPr>
  </w:style>
  <w:style w:type="table" w:styleId="TableGrid">
    <w:name w:val="Table Grid"/>
    <w:basedOn w:val="TableNormal"/>
    <w:rsid w:val="009B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9B4962"/>
    <w:pPr>
      <w:jc w:val="right"/>
    </w:pPr>
    <w:rPr>
      <w:szCs w:val="16"/>
    </w:rPr>
  </w:style>
  <w:style w:type="character" w:styleId="PageNumber">
    <w:name w:val="page number"/>
    <w:basedOn w:val="DefaultParagraphFont"/>
    <w:rsid w:val="009B4962"/>
  </w:style>
  <w:style w:type="paragraph" w:customStyle="1" w:styleId="Comment">
    <w:name w:val="Comment"/>
    <w:rsid w:val="009B4962"/>
    <w:pPr>
      <w:pBdr>
        <w:top w:val="single" w:sz="4" w:space="1" w:color="auto"/>
        <w:left w:val="single" w:sz="4" w:space="4" w:color="auto"/>
        <w:bottom w:val="single" w:sz="4" w:space="1" w:color="auto"/>
        <w:right w:val="single" w:sz="4" w:space="4" w:color="auto"/>
      </w:pBdr>
      <w:spacing w:after="240"/>
    </w:pPr>
    <w:rPr>
      <w:i/>
      <w:sz w:val="23"/>
      <w:szCs w:val="23"/>
      <w:lang w:eastAsia="en-US"/>
    </w:rPr>
  </w:style>
  <w:style w:type="paragraph" w:customStyle="1" w:styleId="Definition">
    <w:name w:val="Definition"/>
    <w:basedOn w:val="Normal"/>
    <w:qFormat/>
    <w:rsid w:val="00B32F13"/>
    <w:pPr>
      <w:tabs>
        <w:tab w:val="left" w:pos="4253"/>
      </w:tabs>
      <w:ind w:left="2211" w:hanging="1701"/>
    </w:pPr>
  </w:style>
  <w:style w:type="paragraph" w:customStyle="1" w:styleId="FooteText">
    <w:name w:val="FooteText"/>
    <w:basedOn w:val="Normal"/>
    <w:uiPriority w:val="15"/>
    <w:rsid w:val="00CF1AE2"/>
    <w:pPr>
      <w:spacing w:after="20" w:line="200" w:lineRule="atLeast"/>
    </w:pPr>
    <w:rPr>
      <w:sz w:val="14"/>
      <w:szCs w:val="14"/>
    </w:rPr>
  </w:style>
  <w:style w:type="paragraph" w:customStyle="1" w:styleId="HeaderPgNo">
    <w:name w:val="HeaderPgNo"/>
    <w:basedOn w:val="Header"/>
    <w:rsid w:val="009B4962"/>
    <w:pPr>
      <w:ind w:right="-851"/>
      <w:jc w:val="right"/>
    </w:pPr>
    <w:rPr>
      <w:b/>
      <w:sz w:val="18"/>
      <w:szCs w:val="18"/>
    </w:rPr>
  </w:style>
  <w:style w:type="paragraph" w:customStyle="1" w:styleId="Heading">
    <w:name w:val="Heading"/>
    <w:basedOn w:val="Normal"/>
    <w:link w:val="HeadingChar"/>
    <w:qFormat/>
    <w:rsid w:val="00B62B63"/>
    <w:pPr>
      <w:keepNext/>
      <w:numPr>
        <w:numId w:val="4"/>
      </w:numPr>
      <w:spacing w:line="260" w:lineRule="atLeast"/>
    </w:pPr>
    <w:rPr>
      <w:rFonts w:ascii="Arial Bold" w:hAnsi="Arial Bold"/>
      <w:b/>
    </w:rPr>
  </w:style>
  <w:style w:type="paragraph" w:customStyle="1" w:styleId="Heading1Txt">
    <w:name w:val="Heading 1Txt"/>
    <w:basedOn w:val="Heading1"/>
    <w:qFormat/>
    <w:rsid w:val="009C37CE"/>
    <w:pPr>
      <w:keepNext w:val="0"/>
    </w:pPr>
    <w:rPr>
      <w:b w:val="0"/>
      <w:caps w:val="0"/>
    </w:rPr>
  </w:style>
  <w:style w:type="paragraph" w:customStyle="1" w:styleId="Heading2Txt">
    <w:name w:val="Heading 2Txt"/>
    <w:basedOn w:val="Heading2"/>
    <w:qFormat/>
    <w:rsid w:val="00ED4D9C"/>
    <w:pPr>
      <w:keepNext w:val="0"/>
    </w:pPr>
    <w:rPr>
      <w:b/>
    </w:rPr>
  </w:style>
  <w:style w:type="paragraph" w:customStyle="1" w:styleId="Heading3Txt">
    <w:name w:val="Heading 3Txt"/>
    <w:basedOn w:val="Heading3"/>
    <w:qFormat/>
    <w:rsid w:val="00ED4D9C"/>
    <w:pPr>
      <w:keepNext w:val="0"/>
    </w:pPr>
    <w:rPr>
      <w:b w:val="0"/>
    </w:rPr>
  </w:style>
  <w:style w:type="paragraph" w:customStyle="1" w:styleId="Heading5Txt">
    <w:name w:val="Heading 5Txt"/>
    <w:basedOn w:val="Heading5"/>
    <w:qFormat/>
    <w:rsid w:val="00ED4D9C"/>
    <w:rPr>
      <w:b w:val="0"/>
    </w:rPr>
  </w:style>
  <w:style w:type="paragraph" w:customStyle="1" w:styleId="Heading6Txt">
    <w:name w:val="Heading 6Txt"/>
    <w:basedOn w:val="Heading6"/>
    <w:qFormat/>
    <w:rsid w:val="00ED4D9C"/>
    <w:rPr>
      <w:rFonts w:ascii="Arial" w:hAnsi="Arial"/>
      <w:b w:val="0"/>
    </w:rPr>
  </w:style>
  <w:style w:type="paragraph" w:customStyle="1" w:styleId="HeadingNoToc">
    <w:name w:val="HeadingNoToc"/>
    <w:basedOn w:val="Normal"/>
    <w:qFormat/>
    <w:rsid w:val="00173786"/>
    <w:pPr>
      <w:keepNext/>
      <w:numPr>
        <w:numId w:val="1"/>
      </w:numPr>
      <w:spacing w:before="240"/>
      <w:jc w:val="left"/>
    </w:pPr>
    <w:rPr>
      <w:rFonts w:ascii="Arial Bold" w:hAnsi="Arial Bold"/>
      <w:b/>
    </w:rPr>
  </w:style>
  <w:style w:type="paragraph" w:customStyle="1" w:styleId="NormalNoSpace">
    <w:name w:val="NormalNoSpace"/>
    <w:basedOn w:val="Normal"/>
    <w:qFormat/>
    <w:rsid w:val="00984CB8"/>
    <w:pPr>
      <w:spacing w:after="0"/>
    </w:pPr>
  </w:style>
  <w:style w:type="paragraph" w:customStyle="1" w:styleId="NormalFixed">
    <w:name w:val="NormalFixed"/>
    <w:rsid w:val="00B061BF"/>
    <w:pPr>
      <w:spacing w:line="260" w:lineRule="atLeast"/>
    </w:pPr>
    <w:rPr>
      <w:rFonts w:ascii="Arial" w:hAnsi="Arial"/>
      <w:sz w:val="22"/>
      <w:szCs w:val="23"/>
      <w:lang w:eastAsia="en-US"/>
    </w:rPr>
  </w:style>
  <w:style w:type="paragraph" w:customStyle="1" w:styleId="NormalFixedBold">
    <w:name w:val="NormalFixedBold"/>
    <w:basedOn w:val="NormalFixed"/>
    <w:rsid w:val="009B4962"/>
    <w:rPr>
      <w:b/>
    </w:rPr>
  </w:style>
  <w:style w:type="character" w:styleId="Hyperlink">
    <w:name w:val="Hyperlink"/>
    <w:basedOn w:val="DefaultParagraphFont"/>
    <w:uiPriority w:val="99"/>
    <w:unhideWhenUsed/>
    <w:rsid w:val="00A1196F"/>
    <w:rPr>
      <w:color w:val="0000FF" w:themeColor="hyperlink"/>
      <w:u w:val="single"/>
    </w:rPr>
  </w:style>
  <w:style w:type="paragraph" w:styleId="Title">
    <w:name w:val="Title"/>
    <w:basedOn w:val="Normal"/>
    <w:next w:val="Normal"/>
    <w:qFormat/>
    <w:rsid w:val="00AE235F"/>
    <w:pPr>
      <w:keepNext/>
      <w:spacing w:before="240"/>
      <w:jc w:val="center"/>
      <w:outlineLvl w:val="0"/>
    </w:pPr>
    <w:rPr>
      <w:rFonts w:cs="Arial"/>
      <w:b/>
      <w:bCs/>
      <w:kern w:val="28"/>
      <w:u w:val="single"/>
    </w:rPr>
  </w:style>
  <w:style w:type="paragraph" w:customStyle="1" w:styleId="TitleNoTOC">
    <w:name w:val="TitleNoTOC"/>
    <w:basedOn w:val="Title"/>
    <w:qFormat/>
    <w:rsid w:val="002D6279"/>
  </w:style>
  <w:style w:type="paragraph" w:styleId="TOC3">
    <w:name w:val="toc 3"/>
    <w:basedOn w:val="Normal"/>
    <w:next w:val="Normal"/>
    <w:autoRedefine/>
    <w:uiPriority w:val="39"/>
    <w:rsid w:val="00D533C4"/>
    <w:pPr>
      <w:tabs>
        <w:tab w:val="left" w:pos="425"/>
        <w:tab w:val="right" w:leader="dot" w:pos="9299"/>
      </w:tabs>
      <w:ind w:left="425" w:hanging="425"/>
    </w:pPr>
  </w:style>
  <w:style w:type="paragraph" w:styleId="TOC1">
    <w:name w:val="toc 1"/>
    <w:next w:val="Normal"/>
    <w:autoRedefine/>
    <w:uiPriority w:val="39"/>
    <w:rsid w:val="001B247A"/>
    <w:pPr>
      <w:tabs>
        <w:tab w:val="left" w:pos="864"/>
        <w:tab w:val="right" w:leader="dot" w:pos="9015"/>
      </w:tabs>
      <w:spacing w:before="240" w:line="288" w:lineRule="auto"/>
      <w:ind w:left="864" w:right="864" w:hanging="864"/>
    </w:pPr>
    <w:rPr>
      <w:rFonts w:ascii="Arial Bold" w:hAnsi="Arial Bold" w:cs="Arial"/>
      <w:b/>
      <w:bCs/>
      <w:caps/>
      <w:szCs w:val="23"/>
      <w:lang w:eastAsia="en-US"/>
    </w:rPr>
  </w:style>
  <w:style w:type="paragraph" w:styleId="TOC4">
    <w:name w:val="toc 4"/>
    <w:basedOn w:val="Normal"/>
    <w:next w:val="Normal"/>
    <w:autoRedefine/>
    <w:semiHidden/>
    <w:rsid w:val="00D54735"/>
    <w:pPr>
      <w:spacing w:after="0"/>
      <w:ind w:left="425"/>
    </w:pPr>
  </w:style>
  <w:style w:type="paragraph" w:customStyle="1" w:styleId="CELogoLg">
    <w:name w:val="CELogoLg"/>
    <w:basedOn w:val="Normal"/>
    <w:rsid w:val="00F87672"/>
    <w:pPr>
      <w:spacing w:before="600" w:after="0"/>
    </w:pPr>
    <w:rPr>
      <w:rFonts w:ascii="Cumberland Ellis Logo" w:hAnsi="Cumberland Ellis Logo"/>
      <w:color w:val="002121"/>
      <w:sz w:val="55"/>
      <w:szCs w:val="55"/>
    </w:rPr>
  </w:style>
  <w:style w:type="character" w:customStyle="1" w:styleId="CELogoLine">
    <w:name w:val="CELogoLine"/>
    <w:basedOn w:val="DefaultParagraphFont"/>
    <w:rsid w:val="00F87672"/>
    <w:rPr>
      <w:color w:val="424221"/>
    </w:rPr>
  </w:style>
  <w:style w:type="paragraph" w:customStyle="1" w:styleId="CELogoSm">
    <w:name w:val="CELogoSm"/>
    <w:basedOn w:val="Normal"/>
    <w:rsid w:val="00F87672"/>
    <w:pPr>
      <w:spacing w:after="0"/>
    </w:pPr>
    <w:rPr>
      <w:rFonts w:ascii="Cumberland Ellis Logo" w:hAnsi="Cumberland Ellis Logo"/>
      <w:color w:val="002121"/>
      <w:sz w:val="36"/>
      <w:szCs w:val="36"/>
    </w:rPr>
  </w:style>
  <w:style w:type="paragraph" w:customStyle="1" w:styleId="Heading4Txt">
    <w:name w:val="Heading 4Txt"/>
    <w:basedOn w:val="Heading4"/>
    <w:qFormat/>
    <w:rsid w:val="00C62B7E"/>
    <w:pPr>
      <w:keepNext w:val="0"/>
    </w:pPr>
    <w:rPr>
      <w:rFonts w:ascii="Arial" w:hAnsi="Arial"/>
      <w:b w:val="0"/>
    </w:rPr>
  </w:style>
  <w:style w:type="paragraph" w:styleId="TOC2">
    <w:name w:val="toc 2"/>
    <w:next w:val="Normal"/>
    <w:autoRedefine/>
    <w:uiPriority w:val="39"/>
    <w:rsid w:val="006E3840"/>
    <w:pPr>
      <w:tabs>
        <w:tab w:val="left" w:pos="1134"/>
        <w:tab w:val="right" w:leader="dot" w:pos="9299"/>
      </w:tabs>
      <w:spacing w:line="288" w:lineRule="auto"/>
      <w:ind w:left="425" w:right="284" w:hanging="425"/>
    </w:pPr>
    <w:rPr>
      <w:rFonts w:ascii="Arial" w:hAnsi="Arial"/>
      <w:bCs/>
      <w:noProof/>
      <w:szCs w:val="23"/>
      <w:lang w:eastAsia="en-US"/>
    </w:rPr>
  </w:style>
  <w:style w:type="paragraph" w:customStyle="1" w:styleId="A1">
    <w:name w:val="A1"/>
    <w:basedOn w:val="Normal"/>
    <w:link w:val="A1Char"/>
    <w:rsid w:val="0082196B"/>
    <w:pPr>
      <w:keepNext/>
      <w:numPr>
        <w:numId w:val="6"/>
      </w:numPr>
    </w:pPr>
    <w:rPr>
      <w:b/>
      <w:caps/>
      <w:szCs w:val="22"/>
    </w:rPr>
  </w:style>
  <w:style w:type="paragraph" w:customStyle="1" w:styleId="A2">
    <w:name w:val="A2"/>
    <w:basedOn w:val="A1"/>
    <w:link w:val="A2Char"/>
    <w:rsid w:val="00727BB0"/>
    <w:pPr>
      <w:keepNext w:val="0"/>
      <w:numPr>
        <w:ilvl w:val="1"/>
      </w:numPr>
    </w:pPr>
    <w:rPr>
      <w:b w:val="0"/>
      <w:caps w:val="0"/>
    </w:rPr>
  </w:style>
  <w:style w:type="paragraph" w:customStyle="1" w:styleId="A3">
    <w:name w:val="A3"/>
    <w:basedOn w:val="A2"/>
    <w:link w:val="A3Char"/>
    <w:rsid w:val="00514AB5"/>
    <w:pPr>
      <w:numPr>
        <w:ilvl w:val="2"/>
      </w:numPr>
    </w:pPr>
  </w:style>
  <w:style w:type="paragraph" w:customStyle="1" w:styleId="A4">
    <w:name w:val="A4"/>
    <w:basedOn w:val="A3"/>
    <w:link w:val="A4Char"/>
    <w:rsid w:val="00514AB5"/>
    <w:pPr>
      <w:numPr>
        <w:ilvl w:val="3"/>
      </w:numPr>
    </w:pPr>
  </w:style>
  <w:style w:type="paragraph" w:customStyle="1" w:styleId="A5">
    <w:name w:val="A5"/>
    <w:basedOn w:val="A4"/>
    <w:link w:val="A5Char"/>
    <w:rsid w:val="00514AB5"/>
    <w:pPr>
      <w:numPr>
        <w:ilvl w:val="4"/>
      </w:numPr>
    </w:pPr>
  </w:style>
  <w:style w:type="paragraph" w:customStyle="1" w:styleId="A6">
    <w:name w:val="A6"/>
    <w:basedOn w:val="A5"/>
    <w:link w:val="A6Char"/>
    <w:rsid w:val="00514AB5"/>
    <w:pPr>
      <w:numPr>
        <w:ilvl w:val="5"/>
      </w:numPr>
    </w:pPr>
  </w:style>
  <w:style w:type="paragraph" w:styleId="BodyText">
    <w:name w:val="Body Text"/>
    <w:basedOn w:val="Normal"/>
    <w:link w:val="BodyTextChar"/>
    <w:rsid w:val="001B247A"/>
    <w:pPr>
      <w:ind w:left="864"/>
    </w:pPr>
    <w:rPr>
      <w:szCs w:val="24"/>
    </w:rPr>
  </w:style>
  <w:style w:type="character" w:customStyle="1" w:styleId="BodyTextChar">
    <w:name w:val="Body Text Char"/>
    <w:basedOn w:val="DefaultParagraphFont"/>
    <w:link w:val="BodyText"/>
    <w:rsid w:val="001B247A"/>
    <w:rPr>
      <w:rFonts w:ascii="Arial" w:hAnsi="Arial"/>
      <w:szCs w:val="24"/>
      <w:lang w:eastAsia="en-US"/>
    </w:rPr>
  </w:style>
  <w:style w:type="paragraph" w:styleId="BodyTextIndent">
    <w:name w:val="Body Text Indent"/>
    <w:basedOn w:val="Normal"/>
    <w:link w:val="BodyTextIndentChar"/>
    <w:rsid w:val="001B247A"/>
    <w:pPr>
      <w:ind w:left="864"/>
    </w:pPr>
    <w:rPr>
      <w:szCs w:val="24"/>
    </w:rPr>
  </w:style>
  <w:style w:type="character" w:customStyle="1" w:styleId="BodyTextIndentChar">
    <w:name w:val="Body Text Indent Char"/>
    <w:basedOn w:val="DefaultParagraphFont"/>
    <w:link w:val="BodyTextIndent"/>
    <w:rsid w:val="001B247A"/>
    <w:rPr>
      <w:rFonts w:ascii="Arial" w:hAnsi="Arial"/>
      <w:szCs w:val="24"/>
      <w:lang w:eastAsia="en-US"/>
    </w:rPr>
  </w:style>
  <w:style w:type="paragraph" w:customStyle="1" w:styleId="SCHA1">
    <w:name w:val="SCH A1"/>
    <w:basedOn w:val="Normal"/>
    <w:rsid w:val="001B247A"/>
    <w:pPr>
      <w:numPr>
        <w:numId w:val="5"/>
      </w:numPr>
    </w:pPr>
    <w:rPr>
      <w:szCs w:val="22"/>
    </w:rPr>
  </w:style>
  <w:style w:type="paragraph" w:customStyle="1" w:styleId="SCHA2">
    <w:name w:val="SCH A2"/>
    <w:basedOn w:val="SCHA1"/>
    <w:rsid w:val="001B247A"/>
    <w:pPr>
      <w:numPr>
        <w:ilvl w:val="1"/>
      </w:numPr>
    </w:pPr>
  </w:style>
  <w:style w:type="paragraph" w:customStyle="1" w:styleId="SCHA3">
    <w:name w:val="SCH A3"/>
    <w:basedOn w:val="SCHA2"/>
    <w:rsid w:val="004165CA"/>
    <w:pPr>
      <w:numPr>
        <w:ilvl w:val="2"/>
      </w:numPr>
    </w:pPr>
  </w:style>
  <w:style w:type="paragraph" w:customStyle="1" w:styleId="SCHA4">
    <w:name w:val="SCH A4"/>
    <w:basedOn w:val="SCHA3"/>
    <w:rsid w:val="004165CA"/>
    <w:pPr>
      <w:numPr>
        <w:ilvl w:val="3"/>
      </w:numPr>
    </w:pPr>
  </w:style>
  <w:style w:type="paragraph" w:customStyle="1" w:styleId="SCHA5">
    <w:name w:val="SCH A5"/>
    <w:basedOn w:val="SCHA4"/>
    <w:rsid w:val="004165CA"/>
    <w:pPr>
      <w:numPr>
        <w:ilvl w:val="4"/>
      </w:numPr>
    </w:pPr>
  </w:style>
  <w:style w:type="paragraph" w:customStyle="1" w:styleId="SCHA6">
    <w:name w:val="SCH A6"/>
    <w:basedOn w:val="SCHA5"/>
    <w:rsid w:val="004165CA"/>
    <w:pPr>
      <w:numPr>
        <w:ilvl w:val="5"/>
      </w:numPr>
    </w:pPr>
  </w:style>
  <w:style w:type="paragraph" w:customStyle="1" w:styleId="NUMBERING">
    <w:name w:val="NUMBERING"/>
    <w:basedOn w:val="Normal"/>
    <w:link w:val="NUMBERINGChar"/>
    <w:rsid w:val="00D87ECF"/>
  </w:style>
  <w:style w:type="paragraph" w:customStyle="1" w:styleId="N1">
    <w:name w:val="N1"/>
    <w:basedOn w:val="NUMBERING"/>
    <w:link w:val="N1Char"/>
    <w:qFormat/>
    <w:rsid w:val="00D87ECF"/>
    <w:pPr>
      <w:numPr>
        <w:numId w:val="2"/>
      </w:numPr>
    </w:pPr>
  </w:style>
  <w:style w:type="paragraph" w:customStyle="1" w:styleId="N2">
    <w:name w:val="N2"/>
    <w:basedOn w:val="NUMBERING"/>
    <w:link w:val="N2Char"/>
    <w:qFormat/>
    <w:rsid w:val="00D87ECF"/>
    <w:pPr>
      <w:numPr>
        <w:ilvl w:val="1"/>
        <w:numId w:val="2"/>
      </w:numPr>
    </w:pPr>
  </w:style>
  <w:style w:type="character" w:customStyle="1" w:styleId="NUMBERINGChar">
    <w:name w:val="NUMBERING Char"/>
    <w:basedOn w:val="DefaultParagraphFont"/>
    <w:link w:val="NUMBERING"/>
    <w:rsid w:val="00D87ECF"/>
    <w:rPr>
      <w:rFonts w:ascii="Arial" w:hAnsi="Arial"/>
      <w:sz w:val="22"/>
      <w:szCs w:val="23"/>
      <w:lang w:eastAsia="en-US"/>
    </w:rPr>
  </w:style>
  <w:style w:type="character" w:customStyle="1" w:styleId="N1Char">
    <w:name w:val="N1 Char"/>
    <w:basedOn w:val="NUMBERINGChar"/>
    <w:link w:val="N1"/>
    <w:rsid w:val="00D87ECF"/>
    <w:rPr>
      <w:rFonts w:ascii="Arial" w:hAnsi="Arial"/>
      <w:sz w:val="22"/>
      <w:szCs w:val="23"/>
      <w:lang w:eastAsia="en-US"/>
    </w:rPr>
  </w:style>
  <w:style w:type="paragraph" w:customStyle="1" w:styleId="N3">
    <w:name w:val="N3"/>
    <w:basedOn w:val="NUMBERING"/>
    <w:link w:val="N3Char"/>
    <w:qFormat/>
    <w:rsid w:val="00D87ECF"/>
    <w:pPr>
      <w:numPr>
        <w:ilvl w:val="2"/>
        <w:numId w:val="2"/>
      </w:numPr>
    </w:pPr>
  </w:style>
  <w:style w:type="character" w:customStyle="1" w:styleId="N2Char">
    <w:name w:val="N2 Char"/>
    <w:basedOn w:val="NUMBERINGChar"/>
    <w:link w:val="N2"/>
    <w:rsid w:val="00D87ECF"/>
    <w:rPr>
      <w:rFonts w:ascii="Arial" w:hAnsi="Arial"/>
      <w:sz w:val="22"/>
      <w:szCs w:val="23"/>
      <w:lang w:eastAsia="en-US"/>
    </w:rPr>
  </w:style>
  <w:style w:type="paragraph" w:customStyle="1" w:styleId="N4">
    <w:name w:val="N4"/>
    <w:basedOn w:val="NUMBERING"/>
    <w:link w:val="N4Char"/>
    <w:qFormat/>
    <w:rsid w:val="00D87ECF"/>
    <w:pPr>
      <w:numPr>
        <w:ilvl w:val="3"/>
        <w:numId w:val="2"/>
      </w:numPr>
    </w:pPr>
  </w:style>
  <w:style w:type="character" w:customStyle="1" w:styleId="N3Char">
    <w:name w:val="N3 Char"/>
    <w:basedOn w:val="NUMBERINGChar"/>
    <w:link w:val="N3"/>
    <w:rsid w:val="00D87ECF"/>
    <w:rPr>
      <w:rFonts w:ascii="Arial" w:hAnsi="Arial"/>
      <w:sz w:val="22"/>
      <w:szCs w:val="23"/>
      <w:lang w:eastAsia="en-US"/>
    </w:rPr>
  </w:style>
  <w:style w:type="paragraph" w:customStyle="1" w:styleId="N5">
    <w:name w:val="N5"/>
    <w:basedOn w:val="NUMBERING"/>
    <w:link w:val="N5Char"/>
    <w:qFormat/>
    <w:rsid w:val="00D87ECF"/>
    <w:pPr>
      <w:numPr>
        <w:ilvl w:val="4"/>
        <w:numId w:val="2"/>
      </w:numPr>
    </w:pPr>
  </w:style>
  <w:style w:type="character" w:customStyle="1" w:styleId="N4Char">
    <w:name w:val="N4 Char"/>
    <w:basedOn w:val="NUMBERINGChar"/>
    <w:link w:val="N4"/>
    <w:rsid w:val="00D87ECF"/>
    <w:rPr>
      <w:rFonts w:ascii="Arial" w:hAnsi="Arial"/>
      <w:sz w:val="22"/>
      <w:szCs w:val="23"/>
      <w:lang w:eastAsia="en-US"/>
    </w:rPr>
  </w:style>
  <w:style w:type="paragraph" w:customStyle="1" w:styleId="N6">
    <w:name w:val="N6"/>
    <w:basedOn w:val="NUMBERING"/>
    <w:link w:val="N6Char"/>
    <w:qFormat/>
    <w:rsid w:val="00D87ECF"/>
    <w:pPr>
      <w:numPr>
        <w:ilvl w:val="5"/>
        <w:numId w:val="2"/>
      </w:numPr>
    </w:pPr>
  </w:style>
  <w:style w:type="character" w:customStyle="1" w:styleId="N5Char">
    <w:name w:val="N5 Char"/>
    <w:basedOn w:val="NUMBERINGChar"/>
    <w:link w:val="N5"/>
    <w:rsid w:val="00D87ECF"/>
    <w:rPr>
      <w:rFonts w:ascii="Arial" w:hAnsi="Arial"/>
      <w:sz w:val="22"/>
      <w:szCs w:val="23"/>
      <w:lang w:eastAsia="en-US"/>
    </w:rPr>
  </w:style>
  <w:style w:type="character" w:customStyle="1" w:styleId="N6Char">
    <w:name w:val="N6 Char"/>
    <w:basedOn w:val="NUMBERINGChar"/>
    <w:link w:val="N6"/>
    <w:rsid w:val="00D87ECF"/>
    <w:rPr>
      <w:rFonts w:ascii="Arial" w:hAnsi="Arial"/>
      <w:sz w:val="22"/>
      <w:szCs w:val="23"/>
      <w:lang w:eastAsia="en-US"/>
    </w:rPr>
  </w:style>
  <w:style w:type="character" w:customStyle="1" w:styleId="Heading7Char">
    <w:name w:val="Heading 7 Char"/>
    <w:basedOn w:val="DefaultParagraphFont"/>
    <w:link w:val="Heading7"/>
    <w:rsid w:val="00560591"/>
    <w:rPr>
      <w:sz w:val="24"/>
      <w:szCs w:val="24"/>
      <w:lang w:eastAsia="en-US"/>
    </w:rPr>
  </w:style>
  <w:style w:type="character" w:customStyle="1" w:styleId="Heading8Char">
    <w:name w:val="Heading 8 Char"/>
    <w:basedOn w:val="DefaultParagraphFont"/>
    <w:link w:val="Heading8"/>
    <w:rsid w:val="00560591"/>
    <w:rPr>
      <w:i/>
      <w:iCs/>
      <w:sz w:val="24"/>
      <w:szCs w:val="24"/>
      <w:lang w:eastAsia="en-US"/>
    </w:rPr>
  </w:style>
  <w:style w:type="character" w:customStyle="1" w:styleId="Heading9Char">
    <w:name w:val="Heading 9 Char"/>
    <w:basedOn w:val="DefaultParagraphFont"/>
    <w:link w:val="Heading9"/>
    <w:rsid w:val="00560591"/>
    <w:rPr>
      <w:rFonts w:ascii="Arial" w:hAnsi="Arial" w:cs="Arial"/>
      <w:sz w:val="22"/>
      <w:szCs w:val="22"/>
      <w:lang w:eastAsia="en-US"/>
    </w:rPr>
  </w:style>
  <w:style w:type="paragraph" w:customStyle="1" w:styleId="BodyTextMargin">
    <w:name w:val="Body Text Margin"/>
    <w:basedOn w:val="Normal"/>
    <w:rsid w:val="001B247A"/>
    <w:rPr>
      <w:szCs w:val="24"/>
    </w:rPr>
  </w:style>
  <w:style w:type="character" w:customStyle="1" w:styleId="A1Char">
    <w:name w:val="A1 Char"/>
    <w:basedOn w:val="DefaultParagraphFont"/>
    <w:link w:val="A1"/>
    <w:rsid w:val="0082196B"/>
    <w:rPr>
      <w:rFonts w:ascii="Arial" w:hAnsi="Arial"/>
      <w:b/>
      <w:caps/>
      <w:szCs w:val="22"/>
      <w:lang w:eastAsia="en-US"/>
    </w:rPr>
  </w:style>
  <w:style w:type="character" w:customStyle="1" w:styleId="A2Char">
    <w:name w:val="A2 Char"/>
    <w:basedOn w:val="A1Char"/>
    <w:link w:val="A2"/>
    <w:rsid w:val="00727BB0"/>
    <w:rPr>
      <w:rFonts w:ascii="Arial" w:hAnsi="Arial"/>
      <w:b w:val="0"/>
      <w:caps w:val="0"/>
      <w:szCs w:val="22"/>
      <w:lang w:eastAsia="en-US"/>
    </w:rPr>
  </w:style>
  <w:style w:type="character" w:customStyle="1" w:styleId="A3Char">
    <w:name w:val="A3 Char"/>
    <w:basedOn w:val="A2Char"/>
    <w:link w:val="A3"/>
    <w:rsid w:val="00514AB5"/>
    <w:rPr>
      <w:rFonts w:ascii="Arial" w:hAnsi="Arial"/>
      <w:b w:val="0"/>
      <w:caps w:val="0"/>
      <w:szCs w:val="22"/>
      <w:lang w:eastAsia="en-US"/>
    </w:rPr>
  </w:style>
  <w:style w:type="character" w:customStyle="1" w:styleId="A4Char">
    <w:name w:val="A4 Char"/>
    <w:basedOn w:val="A3Char"/>
    <w:link w:val="A4"/>
    <w:rsid w:val="00514AB5"/>
    <w:rPr>
      <w:rFonts w:ascii="Arial" w:hAnsi="Arial"/>
      <w:b w:val="0"/>
      <w:caps w:val="0"/>
      <w:szCs w:val="22"/>
      <w:lang w:eastAsia="en-US"/>
    </w:rPr>
  </w:style>
  <w:style w:type="character" w:customStyle="1" w:styleId="A5Char">
    <w:name w:val="A5 Char"/>
    <w:basedOn w:val="A4Char"/>
    <w:link w:val="A5"/>
    <w:rsid w:val="00514AB5"/>
    <w:rPr>
      <w:rFonts w:ascii="Arial" w:hAnsi="Arial"/>
      <w:b w:val="0"/>
      <w:caps w:val="0"/>
      <w:szCs w:val="22"/>
      <w:lang w:eastAsia="en-US"/>
    </w:rPr>
  </w:style>
  <w:style w:type="character" w:customStyle="1" w:styleId="A6Char">
    <w:name w:val="A6 Char"/>
    <w:basedOn w:val="A5Char"/>
    <w:link w:val="A6"/>
    <w:rsid w:val="00514AB5"/>
    <w:rPr>
      <w:rFonts w:ascii="Arial" w:hAnsi="Arial"/>
      <w:b w:val="0"/>
      <w:caps w:val="0"/>
      <w:szCs w:val="22"/>
      <w:lang w:eastAsia="en-US"/>
    </w:rPr>
  </w:style>
  <w:style w:type="paragraph" w:customStyle="1" w:styleId="LegalNumbering">
    <w:name w:val="Legal Numbering"/>
    <w:basedOn w:val="Normal"/>
    <w:link w:val="LegalNumberingChar"/>
    <w:rsid w:val="00547EBD"/>
    <w:pPr>
      <w:tabs>
        <w:tab w:val="left" w:pos="990"/>
        <w:tab w:val="right" w:pos="9072"/>
      </w:tabs>
    </w:pPr>
    <w:rPr>
      <w:rFonts w:cs="Arial"/>
      <w:szCs w:val="22"/>
    </w:rPr>
  </w:style>
  <w:style w:type="paragraph" w:customStyle="1" w:styleId="L1">
    <w:name w:val="L1"/>
    <w:basedOn w:val="Normal"/>
    <w:link w:val="L1Char"/>
    <w:rsid w:val="00B71898"/>
    <w:pPr>
      <w:numPr>
        <w:numId w:val="3"/>
      </w:numPr>
      <w:spacing w:line="240" w:lineRule="auto"/>
    </w:pPr>
  </w:style>
  <w:style w:type="paragraph" w:customStyle="1" w:styleId="L2">
    <w:name w:val="L2"/>
    <w:basedOn w:val="L1"/>
    <w:link w:val="L2Char"/>
    <w:rsid w:val="00B71898"/>
    <w:pPr>
      <w:numPr>
        <w:ilvl w:val="1"/>
      </w:numPr>
    </w:pPr>
  </w:style>
  <w:style w:type="paragraph" w:customStyle="1" w:styleId="L3">
    <w:name w:val="L3"/>
    <w:basedOn w:val="L2"/>
    <w:link w:val="L3Char"/>
    <w:rsid w:val="00B71898"/>
    <w:pPr>
      <w:numPr>
        <w:ilvl w:val="2"/>
      </w:numPr>
    </w:pPr>
  </w:style>
  <w:style w:type="paragraph" w:customStyle="1" w:styleId="L4">
    <w:name w:val="L4"/>
    <w:basedOn w:val="L3"/>
    <w:link w:val="L4Char"/>
    <w:rsid w:val="00B71898"/>
    <w:pPr>
      <w:numPr>
        <w:ilvl w:val="3"/>
      </w:numPr>
    </w:pPr>
  </w:style>
  <w:style w:type="paragraph" w:customStyle="1" w:styleId="L5">
    <w:name w:val="L5"/>
    <w:basedOn w:val="L4"/>
    <w:link w:val="L5Char"/>
    <w:rsid w:val="00B71898"/>
    <w:pPr>
      <w:numPr>
        <w:ilvl w:val="4"/>
      </w:numPr>
    </w:pPr>
  </w:style>
  <w:style w:type="paragraph" w:customStyle="1" w:styleId="L6">
    <w:name w:val="L6"/>
    <w:basedOn w:val="L5"/>
    <w:link w:val="L6Char"/>
    <w:rsid w:val="00B71898"/>
    <w:pPr>
      <w:numPr>
        <w:ilvl w:val="5"/>
      </w:numPr>
    </w:pPr>
  </w:style>
  <w:style w:type="character" w:customStyle="1" w:styleId="HeadingChar">
    <w:name w:val="Heading Char"/>
    <w:basedOn w:val="DefaultParagraphFont"/>
    <w:link w:val="Heading"/>
    <w:rsid w:val="00B62B63"/>
    <w:rPr>
      <w:rFonts w:ascii="Arial Bold" w:hAnsi="Arial Bold"/>
      <w:b/>
      <w:szCs w:val="23"/>
      <w:lang w:eastAsia="en-US"/>
    </w:rPr>
  </w:style>
  <w:style w:type="paragraph" w:customStyle="1" w:styleId="ListStyleA1">
    <w:name w:val="ListStyleA1"/>
    <w:basedOn w:val="A1"/>
    <w:link w:val="ListStyleA1Char"/>
    <w:rsid w:val="001C794D"/>
    <w:pPr>
      <w:keepNext w:val="0"/>
      <w:numPr>
        <w:numId w:val="0"/>
      </w:numPr>
      <w:ind w:left="720" w:hanging="720"/>
      <w:jc w:val="left"/>
    </w:pPr>
  </w:style>
  <w:style w:type="paragraph" w:customStyle="1" w:styleId="ListStyleSCHA1">
    <w:name w:val="ListStyleSCHA1"/>
    <w:basedOn w:val="A1"/>
    <w:link w:val="ListStyleSCHA1Char"/>
    <w:rsid w:val="001C794D"/>
    <w:pPr>
      <w:keepNext w:val="0"/>
      <w:numPr>
        <w:numId w:val="0"/>
      </w:numPr>
      <w:ind w:left="720" w:hanging="720"/>
      <w:jc w:val="left"/>
    </w:pPr>
  </w:style>
  <w:style w:type="paragraph" w:styleId="ListParagraph">
    <w:name w:val="List Paragraph"/>
    <w:basedOn w:val="Normal"/>
    <w:uiPriority w:val="34"/>
    <w:qFormat/>
    <w:rsid w:val="00584940"/>
    <w:pPr>
      <w:ind w:left="720"/>
      <w:contextualSpacing/>
    </w:pPr>
  </w:style>
  <w:style w:type="numbering" w:styleId="111111">
    <w:name w:val="Outline List 2"/>
    <w:basedOn w:val="NoList"/>
    <w:rsid w:val="001C794D"/>
    <w:pPr>
      <w:numPr>
        <w:numId w:val="7"/>
      </w:numPr>
    </w:pPr>
  </w:style>
  <w:style w:type="character" w:customStyle="1" w:styleId="ListStyleSCHA1Char">
    <w:name w:val="ListStyleSCHA1 Char"/>
    <w:basedOn w:val="A1Char"/>
    <w:link w:val="ListStyleSCHA1"/>
    <w:rsid w:val="001C794D"/>
    <w:rPr>
      <w:rFonts w:ascii="Arial Bold" w:hAnsi="Arial Bold"/>
      <w:b/>
      <w:caps/>
      <w:szCs w:val="22"/>
      <w:lang w:eastAsia="en-US"/>
    </w:rPr>
  </w:style>
  <w:style w:type="character" w:customStyle="1" w:styleId="ListStyleA1Char">
    <w:name w:val="ListStyleA1 Char"/>
    <w:basedOn w:val="A1Char"/>
    <w:link w:val="ListStyleA1"/>
    <w:rsid w:val="001C794D"/>
    <w:rPr>
      <w:rFonts w:ascii="Arial Bold" w:hAnsi="Arial Bold"/>
      <w:b/>
      <w:caps/>
      <w:szCs w:val="22"/>
      <w:lang w:eastAsia="en-US"/>
    </w:rPr>
  </w:style>
  <w:style w:type="paragraph" w:customStyle="1" w:styleId="ListStyleL1">
    <w:name w:val="ListStyleL1"/>
    <w:basedOn w:val="L1"/>
    <w:next w:val="L1"/>
    <w:link w:val="ListStyleL1Char"/>
    <w:rsid w:val="001D0ABC"/>
    <w:pPr>
      <w:jc w:val="left"/>
    </w:pPr>
  </w:style>
  <w:style w:type="character" w:customStyle="1" w:styleId="LegalNumberingChar">
    <w:name w:val="Legal Numbering Char"/>
    <w:basedOn w:val="DefaultParagraphFont"/>
    <w:link w:val="LegalNumbering"/>
    <w:rsid w:val="001C794D"/>
    <w:rPr>
      <w:rFonts w:ascii="Arial" w:hAnsi="Arial" w:cs="Arial"/>
      <w:szCs w:val="22"/>
      <w:lang w:eastAsia="en-US"/>
    </w:rPr>
  </w:style>
  <w:style w:type="character" w:customStyle="1" w:styleId="L1Char">
    <w:name w:val="L1 Char"/>
    <w:basedOn w:val="LegalNumberingChar"/>
    <w:link w:val="L1"/>
    <w:rsid w:val="001D0ABC"/>
    <w:rPr>
      <w:rFonts w:ascii="Arial" w:hAnsi="Arial" w:cs="Arial"/>
      <w:szCs w:val="23"/>
      <w:lang w:eastAsia="en-US"/>
    </w:rPr>
  </w:style>
  <w:style w:type="character" w:customStyle="1" w:styleId="ListStyleL1Char">
    <w:name w:val="ListStyleL1 Char"/>
    <w:basedOn w:val="L1Char"/>
    <w:link w:val="ListStyleL1"/>
    <w:rsid w:val="001D0ABC"/>
    <w:rPr>
      <w:rFonts w:ascii="Arial" w:hAnsi="Arial" w:cs="Arial"/>
      <w:szCs w:val="23"/>
      <w:lang w:eastAsia="en-US"/>
    </w:rPr>
  </w:style>
  <w:style w:type="character" w:customStyle="1" w:styleId="L2Char">
    <w:name w:val="L2 Char"/>
    <w:basedOn w:val="LegalNumberingChar"/>
    <w:link w:val="L2"/>
    <w:rsid w:val="001D0ABC"/>
    <w:rPr>
      <w:rFonts w:ascii="Arial" w:hAnsi="Arial" w:cs="Arial"/>
      <w:szCs w:val="23"/>
      <w:lang w:eastAsia="en-US"/>
    </w:rPr>
  </w:style>
  <w:style w:type="character" w:customStyle="1" w:styleId="L3Char">
    <w:name w:val="L3 Char"/>
    <w:basedOn w:val="L2Char"/>
    <w:link w:val="L3"/>
    <w:rsid w:val="001D0ABC"/>
    <w:rPr>
      <w:rFonts w:ascii="Arial" w:hAnsi="Arial" w:cs="Arial"/>
      <w:szCs w:val="23"/>
      <w:lang w:eastAsia="en-US"/>
    </w:rPr>
  </w:style>
  <w:style w:type="character" w:customStyle="1" w:styleId="L4Char">
    <w:name w:val="L4 Char"/>
    <w:basedOn w:val="L3Char"/>
    <w:link w:val="L4"/>
    <w:rsid w:val="001D0ABC"/>
    <w:rPr>
      <w:rFonts w:ascii="Arial" w:hAnsi="Arial" w:cs="Arial"/>
      <w:szCs w:val="23"/>
      <w:lang w:eastAsia="en-US"/>
    </w:rPr>
  </w:style>
  <w:style w:type="character" w:customStyle="1" w:styleId="L5Char">
    <w:name w:val="L5 Char"/>
    <w:basedOn w:val="L4Char"/>
    <w:link w:val="L5"/>
    <w:rsid w:val="001D0ABC"/>
    <w:rPr>
      <w:rFonts w:ascii="Arial" w:hAnsi="Arial" w:cs="Arial"/>
      <w:szCs w:val="23"/>
      <w:lang w:eastAsia="en-US"/>
    </w:rPr>
  </w:style>
  <w:style w:type="character" w:customStyle="1" w:styleId="L6Char">
    <w:name w:val="L6 Char"/>
    <w:basedOn w:val="L5Char"/>
    <w:link w:val="L6"/>
    <w:rsid w:val="001D0ABC"/>
    <w:rPr>
      <w:rFonts w:ascii="Arial" w:hAnsi="Arial" w:cs="Arial"/>
      <w:szCs w:val="23"/>
      <w:lang w:eastAsia="en-US"/>
    </w:rPr>
  </w:style>
  <w:style w:type="paragraph" w:customStyle="1" w:styleId="Bullet0">
    <w:name w:val="Bullet0"/>
    <w:basedOn w:val="Normal"/>
    <w:qFormat/>
    <w:rsid w:val="00A90970"/>
    <w:pPr>
      <w:numPr>
        <w:numId w:val="8"/>
      </w:numPr>
      <w:spacing w:line="240" w:lineRule="auto"/>
    </w:pPr>
  </w:style>
  <w:style w:type="paragraph" w:customStyle="1" w:styleId="Bullet1">
    <w:name w:val="Bullet1"/>
    <w:basedOn w:val="Bullet0"/>
    <w:qFormat/>
    <w:rsid w:val="00C82D06"/>
    <w:pPr>
      <w:numPr>
        <w:numId w:val="0"/>
      </w:numPr>
      <w:tabs>
        <w:tab w:val="left" w:pos="1134"/>
      </w:tabs>
    </w:pPr>
  </w:style>
  <w:style w:type="paragraph" w:customStyle="1" w:styleId="Bullet2">
    <w:name w:val="Bullet2"/>
    <w:basedOn w:val="Bullet0"/>
    <w:qFormat/>
    <w:rsid w:val="00C82D06"/>
    <w:pPr>
      <w:numPr>
        <w:numId w:val="0"/>
      </w:numPr>
      <w:tabs>
        <w:tab w:val="left" w:pos="1134"/>
      </w:tabs>
    </w:pPr>
  </w:style>
  <w:style w:type="paragraph" w:customStyle="1" w:styleId="Bullet3">
    <w:name w:val="Bullet3"/>
    <w:basedOn w:val="Bullet0"/>
    <w:qFormat/>
    <w:rsid w:val="00C82D06"/>
    <w:pPr>
      <w:numPr>
        <w:numId w:val="0"/>
      </w:numPr>
      <w:tabs>
        <w:tab w:val="left" w:pos="1928"/>
      </w:tabs>
    </w:pPr>
  </w:style>
  <w:style w:type="paragraph" w:customStyle="1" w:styleId="Bullet4">
    <w:name w:val="Bullet4"/>
    <w:basedOn w:val="Bullet0"/>
    <w:qFormat/>
    <w:rsid w:val="00C82D06"/>
    <w:pPr>
      <w:numPr>
        <w:numId w:val="0"/>
      </w:numPr>
      <w:tabs>
        <w:tab w:val="left" w:pos="2948"/>
      </w:tabs>
    </w:pPr>
  </w:style>
  <w:style w:type="paragraph" w:customStyle="1" w:styleId="Bullet5">
    <w:name w:val="Bullet5"/>
    <w:basedOn w:val="Bullet0"/>
    <w:qFormat/>
    <w:rsid w:val="00C82D06"/>
    <w:pPr>
      <w:numPr>
        <w:numId w:val="0"/>
      </w:numPr>
      <w:tabs>
        <w:tab w:val="left" w:pos="4196"/>
      </w:tabs>
    </w:pPr>
  </w:style>
  <w:style w:type="paragraph" w:customStyle="1" w:styleId="Bullet6">
    <w:name w:val="Bullet6"/>
    <w:basedOn w:val="Bullet0"/>
    <w:qFormat/>
    <w:rsid w:val="00C82D06"/>
    <w:pPr>
      <w:numPr>
        <w:numId w:val="0"/>
      </w:numPr>
      <w:tabs>
        <w:tab w:val="left" w:pos="5557"/>
      </w:tabs>
    </w:pPr>
  </w:style>
  <w:style w:type="paragraph" w:customStyle="1" w:styleId="BodyIndent2">
    <w:name w:val="Body Indent 2"/>
    <w:basedOn w:val="BodyTextIndent"/>
    <w:link w:val="BodyIndent2Char"/>
    <w:qFormat/>
    <w:rsid w:val="001467A9"/>
    <w:pPr>
      <w:ind w:left="1728"/>
    </w:pPr>
  </w:style>
  <w:style w:type="character" w:customStyle="1" w:styleId="BodyIndent2Char">
    <w:name w:val="Body Indent 2 Char"/>
    <w:basedOn w:val="BodyTextIndentChar"/>
    <w:link w:val="BodyIndent2"/>
    <w:rsid w:val="001467A9"/>
    <w:rPr>
      <w:rFonts w:ascii="Arial" w:hAnsi="Arial"/>
      <w:szCs w:val="24"/>
      <w:lang w:eastAsia="en-US"/>
    </w:rPr>
  </w:style>
  <w:style w:type="character" w:styleId="CommentReference">
    <w:name w:val="annotation reference"/>
    <w:basedOn w:val="DefaultParagraphFont"/>
    <w:rsid w:val="00326F89"/>
    <w:rPr>
      <w:sz w:val="16"/>
      <w:szCs w:val="16"/>
    </w:rPr>
  </w:style>
  <w:style w:type="paragraph" w:styleId="CommentText">
    <w:name w:val="annotation text"/>
    <w:basedOn w:val="Normal"/>
    <w:link w:val="CommentTextChar"/>
    <w:rsid w:val="00326F89"/>
    <w:pPr>
      <w:spacing w:line="240" w:lineRule="auto"/>
    </w:pPr>
    <w:rPr>
      <w:szCs w:val="20"/>
    </w:rPr>
  </w:style>
  <w:style w:type="character" w:customStyle="1" w:styleId="CommentTextChar">
    <w:name w:val="Comment Text Char"/>
    <w:basedOn w:val="DefaultParagraphFont"/>
    <w:link w:val="CommentText"/>
    <w:rsid w:val="00326F89"/>
    <w:rPr>
      <w:rFonts w:ascii="Arial" w:hAnsi="Arial"/>
      <w:lang w:eastAsia="en-US"/>
    </w:rPr>
  </w:style>
  <w:style w:type="paragraph" w:styleId="CommentSubject">
    <w:name w:val="annotation subject"/>
    <w:basedOn w:val="CommentText"/>
    <w:next w:val="CommentText"/>
    <w:link w:val="CommentSubjectChar"/>
    <w:rsid w:val="00326F89"/>
    <w:rPr>
      <w:b/>
      <w:bCs/>
    </w:rPr>
  </w:style>
  <w:style w:type="character" w:customStyle="1" w:styleId="CommentSubjectChar">
    <w:name w:val="Comment Subject Char"/>
    <w:basedOn w:val="CommentTextChar"/>
    <w:link w:val="CommentSubject"/>
    <w:rsid w:val="00326F89"/>
    <w:rPr>
      <w:rFonts w:ascii="Arial" w:hAnsi="Arial"/>
      <w:b/>
      <w:bCs/>
      <w:lang w:eastAsia="en-US"/>
    </w:rPr>
  </w:style>
  <w:style w:type="paragraph" w:styleId="BalloonText">
    <w:name w:val="Balloon Text"/>
    <w:basedOn w:val="Normal"/>
    <w:link w:val="BalloonTextChar"/>
    <w:rsid w:val="00326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6F8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Adrian Christy</dc:creator>
  <cp:lastModifiedBy>Adrian Christy</cp:lastModifiedBy>
  <cp:revision>2</cp:revision>
  <cp:lastPrinted>2018-05-24T10:09:00Z</cp:lastPrinted>
  <dcterms:created xsi:type="dcterms:W3CDTF">2018-05-24T10:10:00Z</dcterms:created>
  <dcterms:modified xsi:type="dcterms:W3CDTF">2018-05-24T10:10:00Z</dcterms:modified>
  <cp:category/>
</cp:coreProperties>
</file>